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65"/>
          <w:tab w:val="center" w:pos="6979"/>
        </w:tabs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黑体" w:eastAsia="黑体"/>
          <w:sz w:val="32"/>
        </w:rPr>
        <w:t>附件</w:t>
      </w:r>
      <w:r>
        <w:rPr>
          <w:rFonts w:ascii="Times New Roman" w:hAnsi="Times New Roman" w:eastAsia="黑体"/>
          <w:sz w:val="32"/>
        </w:rPr>
        <w:t>2</w:t>
      </w:r>
      <w:r>
        <w:rPr>
          <w:rFonts w:ascii="Times New Roman" w:hAnsi="Times New Roman" w:eastAsia="黑体"/>
          <w:sz w:val="28"/>
          <w:szCs w:val="36"/>
        </w:rPr>
        <w:tab/>
      </w:r>
      <w:r>
        <w:rPr>
          <w:rFonts w:ascii="Times New Roman" w:hAnsi="Times New Roman" w:eastAsia="黑体"/>
          <w:sz w:val="28"/>
          <w:szCs w:val="36"/>
        </w:rPr>
        <w:tab/>
      </w:r>
    </w:p>
    <w:p>
      <w:pPr>
        <w:spacing w:after="156" w:afterLines="50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493395</wp:posOffset>
                </wp:positionV>
                <wp:extent cx="2409190" cy="532130"/>
                <wp:effectExtent l="1270" t="4445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532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85pt;margin-top:38.85pt;height:41.9pt;width:189.7pt;z-index:251658240;mso-width-relative:page;mso-height-relative:page;" filled="f" stroked="t" coordsize="21600,21600" o:gfxdata="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y7X/fYAAAACgEAAA8A&#10;AAAAAAAAAQAgAAAAIgAAAGRycy9kb3ducmV2LnhtbFBLAQIUABQAAAAIAIdO4kA4tFV23gEAAJs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江苏省2018年体育类计划各批次录取安排</w:t>
      </w:r>
    </w:p>
    <w:bookmarkEnd w:id="0"/>
    <w:tbl>
      <w:tblPr>
        <w:tblStyle w:val="3"/>
        <w:tblW w:w="11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  <w:gridCol w:w="415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3175</wp:posOffset>
                      </wp:positionV>
                      <wp:extent cx="1358900" cy="859155"/>
                      <wp:effectExtent l="2540" t="3810" r="10160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8591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0.25pt;height:67.65pt;width:107pt;z-index:251659264;mso-width-relative:page;mso-height-relative:page;" coordsize="21600,21600" o:gfxdata="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ahPyfWAAAACAEAAA8AAAAA&#10;AAAAAQAgAAAAIgAAAGRycy9kb3ducmV2LnhtbFBLAQIUABQAAAAIAIdO4kBEauY43QEAAJsDAAAO&#10;AAAAAAAAAAEAIAAAACUBAABkcnMvZTJvRG9jLnhtbFBLBQYAAAAABgAGAFkBAAB0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                      批 次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    时 间</w:t>
            </w:r>
          </w:p>
          <w:p>
            <w:pPr>
              <w:tabs>
                <w:tab w:val="left" w:pos="1665"/>
              </w:tabs>
              <w:spacing w:line="440" w:lineRule="exact"/>
              <w:ind w:firstLine="102" w:firstLineChars="49"/>
              <w:rPr>
                <w:rFonts w:ascii="黑体" w:hAnsi="黑体" w:eastAsia="黑体"/>
                <w:color w:val="000000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6"/>
                <w:szCs w:val="21"/>
              </w:rPr>
              <w:t>流  程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体育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类</w:t>
            </w:r>
            <w:r>
              <w:rPr>
                <w:rFonts w:hint="eastAsia" w:ascii="黑体" w:hAnsi="黑体" w:eastAsia="黑体" w:cs="Dotum"/>
                <w:color w:val="000000"/>
                <w:szCs w:val="21"/>
              </w:rPr>
              <w:t>提前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录</w:t>
            </w:r>
            <w:r>
              <w:rPr>
                <w:rFonts w:hint="eastAsia" w:ascii="黑体" w:hAnsi="黑体" w:eastAsia="黑体" w:cs="Dotum"/>
                <w:color w:val="000000"/>
                <w:szCs w:val="21"/>
              </w:rPr>
              <w:t>取本科院校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体育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类</w:t>
            </w:r>
            <w:r>
              <w:rPr>
                <w:rFonts w:hint="eastAsia" w:ascii="黑体" w:hAnsi="黑体" w:eastAsia="黑体" w:cs="Dotum"/>
                <w:color w:val="000000"/>
                <w:szCs w:val="21"/>
              </w:rPr>
              <w:t>高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职</w:t>
            </w:r>
            <w:r>
              <w:rPr>
                <w:rFonts w:hint="eastAsia" w:ascii="黑体" w:hAnsi="黑体" w:eastAsia="黑体" w:cs="Dotum"/>
                <w:color w:val="00000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</w:t>
            </w:r>
            <w:r>
              <w:rPr>
                <w:rFonts w:hint="eastAsia" w:ascii="黑体" w:hAnsi="黑体" w:eastAsia="黑体" w:cs="Dotum"/>
                <w:color w:val="000000"/>
                <w:szCs w:val="21"/>
              </w:rPr>
              <w:t>科）院校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开始录取平行院校志愿考生。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日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我院通知各市、县（市、区）招办该批次未被录取的考生名单，公布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Cs w:val="21"/>
              </w:rPr>
              <w:t>未完成招生计划的院校、专业及人数。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符合该批次报考条件但未被录取的考生填报征求平行院校志愿。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9:00-15:00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9:00-15:00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录取该批次征求平行院校志愿，降分录取。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日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31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54979"/>
    <w:rsid w:val="64D549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2018-06-22T04:46:00Z</dcterms:created>
  <dc:creator>Administrator</dc:creator>
  <cp:lastModifiedBy>Administrator</cp:lastModifiedBy>
  <dcterms:modified xsi:type="dcterms:W3CDTF">2018-06-22T04:46:58Z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