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宋体-18030" w:eastAsia="方正小标宋简体" w:cs="宋体-18030"/>
          <w:bCs/>
          <w:sz w:val="36"/>
          <w:szCs w:val="36"/>
        </w:rPr>
      </w:pPr>
      <w:r>
        <w:rPr>
          <w:rFonts w:hint="eastAsia" w:ascii="方正小标宋简体" w:hAnsi="宋体-18030" w:eastAsia="方正小标宋简体" w:cs="宋体-18030"/>
          <w:bCs/>
          <w:sz w:val="36"/>
          <w:szCs w:val="36"/>
        </w:rPr>
        <w:t>2019年江苏省各类成人高校招生</w:t>
      </w:r>
    </w:p>
    <w:p>
      <w:pPr>
        <w:spacing w:line="500" w:lineRule="exact"/>
        <w:jc w:val="center"/>
        <w:rPr>
          <w:rFonts w:ascii="方正小标宋_GBK" w:hAnsi="方正大标宋简体" w:eastAsia="方正小标宋_GBK"/>
          <w:b/>
          <w:color w:val="000000"/>
          <w:sz w:val="36"/>
          <w:szCs w:val="36"/>
        </w:rPr>
      </w:pPr>
      <w:r>
        <w:rPr>
          <w:rFonts w:hint="eastAsia" w:ascii="方正小标宋简体" w:hAnsi="宋体-18030" w:eastAsia="方正小标宋简体" w:cs="宋体-18030"/>
          <w:bCs/>
          <w:sz w:val="36"/>
          <w:szCs w:val="36"/>
        </w:rPr>
        <w:t xml:space="preserve">术科类专业加试办法 </w:t>
      </w:r>
      <w:r>
        <w:rPr>
          <w:rFonts w:ascii="方正小标宋_GBK" w:hAnsi="方正大标宋简体" w:eastAsia="方正小标宋_GBK"/>
          <w:b/>
          <w:color w:val="000000"/>
          <w:sz w:val="36"/>
          <w:szCs w:val="36"/>
        </w:rPr>
        <w:br w:type="textWrapping"/>
      </w:r>
    </w:p>
    <w:p>
      <w:pPr>
        <w:spacing w:line="360" w:lineRule="exact"/>
        <w:ind w:firstLine="480" w:firstLineChars="200"/>
        <w:rPr>
          <w:rFonts w:ascii="宋体" w:hAnsi="宋体"/>
          <w:color w:val="000000"/>
          <w:sz w:val="24"/>
        </w:rPr>
      </w:pPr>
      <w:r>
        <w:rPr>
          <w:rFonts w:ascii="宋体" w:hAnsi="宋体"/>
          <w:color w:val="000000"/>
          <w:sz w:val="24"/>
        </w:rPr>
        <w:t>一、为做好我省201</w:t>
      </w:r>
      <w:r>
        <w:rPr>
          <w:rFonts w:hint="eastAsia" w:ascii="宋体" w:hAnsi="宋体"/>
          <w:color w:val="000000"/>
          <w:sz w:val="24"/>
        </w:rPr>
        <w:t>9</w:t>
      </w:r>
      <w:r>
        <w:rPr>
          <w:rFonts w:ascii="宋体" w:hAnsi="宋体"/>
          <w:color w:val="000000"/>
          <w:sz w:val="24"/>
        </w:rPr>
        <w:t>年成人高校招生术科类专业加试工作，根据《省教育厅关于做好201</w:t>
      </w:r>
      <w:r>
        <w:rPr>
          <w:rFonts w:hint="eastAsia" w:ascii="宋体" w:hAnsi="宋体"/>
          <w:color w:val="000000"/>
          <w:sz w:val="24"/>
        </w:rPr>
        <w:t>9</w:t>
      </w:r>
      <w:r>
        <w:rPr>
          <w:rFonts w:ascii="宋体" w:hAnsi="宋体"/>
          <w:color w:val="000000"/>
          <w:sz w:val="24"/>
        </w:rPr>
        <w:t>年全省成人高校招生工作的通知》，制定本办法。</w:t>
      </w:r>
    </w:p>
    <w:p>
      <w:pPr>
        <w:spacing w:line="360" w:lineRule="exact"/>
        <w:ind w:firstLine="480" w:firstLineChars="200"/>
        <w:rPr>
          <w:rFonts w:ascii="宋体" w:hAnsi="宋体"/>
          <w:color w:val="000000"/>
          <w:sz w:val="24"/>
        </w:rPr>
      </w:pPr>
      <w:r>
        <w:rPr>
          <w:rFonts w:ascii="宋体" w:hAnsi="宋体"/>
          <w:color w:val="000000"/>
          <w:sz w:val="24"/>
        </w:rPr>
        <w:t>二、术科类专业包括艺术类（专科起点升本科、高中起点升本科、高中起点升专科）、体育类（高中起点升本科、高中起点升专科）、旅游管理类（高中起点升本科、高中起点升专科）、烹饪类（高中起点升专科）等专业。</w:t>
      </w:r>
    </w:p>
    <w:p>
      <w:pPr>
        <w:spacing w:line="360" w:lineRule="exact"/>
        <w:ind w:firstLine="480" w:firstLineChars="200"/>
        <w:rPr>
          <w:rFonts w:ascii="宋体" w:hAnsi="宋体"/>
          <w:color w:val="000000"/>
          <w:sz w:val="24"/>
        </w:rPr>
      </w:pPr>
      <w:r>
        <w:rPr>
          <w:rFonts w:ascii="宋体" w:hAnsi="宋体"/>
          <w:color w:val="000000"/>
          <w:sz w:val="24"/>
        </w:rPr>
        <w:t>三、术科类专业加试根据《江苏省成人高校招生术科类专业（艺术、体育、旅游管理、烹饪）加试指南》，命题、考试及评卷（评分）。</w:t>
      </w:r>
    </w:p>
    <w:p>
      <w:pPr>
        <w:spacing w:line="360" w:lineRule="exact"/>
        <w:ind w:firstLine="480" w:firstLineChars="200"/>
        <w:rPr>
          <w:rFonts w:ascii="宋体" w:hAnsi="宋体" w:cs="宋体"/>
          <w:color w:val="000000"/>
          <w:sz w:val="24"/>
        </w:rPr>
      </w:pPr>
      <w:r>
        <w:rPr>
          <w:rFonts w:ascii="宋体" w:hAnsi="宋体"/>
          <w:color w:val="000000"/>
          <w:sz w:val="24"/>
        </w:rPr>
        <w:t>1.艺术类</w:t>
      </w:r>
      <w:r>
        <w:rPr>
          <w:rFonts w:ascii="宋体" w:hAnsi="宋体" w:cs="宋体"/>
          <w:color w:val="000000"/>
          <w:sz w:val="24"/>
        </w:rPr>
        <w:t>的美术、音乐专业</w:t>
      </w:r>
      <w:r>
        <w:rPr>
          <w:rFonts w:ascii="宋体" w:hAnsi="宋体"/>
          <w:color w:val="000000"/>
          <w:sz w:val="24"/>
        </w:rPr>
        <w:t>加试由省教育考试院统一组织。考试、评卷（评分）等工作环节由相关考点院校负责具体实施。其他专业</w:t>
      </w:r>
      <w:r>
        <w:rPr>
          <w:rFonts w:ascii="宋体" w:hAnsi="宋体" w:cs="宋体"/>
          <w:color w:val="000000"/>
          <w:sz w:val="24"/>
        </w:rPr>
        <w:t>加试由院校单独组织。</w:t>
      </w:r>
    </w:p>
    <w:p>
      <w:pPr>
        <w:spacing w:line="360" w:lineRule="exact"/>
        <w:ind w:firstLine="480" w:firstLineChars="200"/>
        <w:rPr>
          <w:rFonts w:ascii="宋体" w:hAnsi="宋体"/>
          <w:color w:val="000000"/>
          <w:sz w:val="24"/>
        </w:rPr>
      </w:pPr>
      <w:r>
        <w:rPr>
          <w:rFonts w:ascii="宋体" w:hAnsi="宋体"/>
          <w:color w:val="000000"/>
          <w:sz w:val="24"/>
        </w:rPr>
        <w:t>2.旅游管理、烹饪</w:t>
      </w:r>
      <w:r>
        <w:rPr>
          <w:rFonts w:ascii="宋体" w:hAnsi="宋体" w:cs="宋体"/>
          <w:color w:val="000000"/>
          <w:sz w:val="24"/>
        </w:rPr>
        <w:t>、</w:t>
      </w:r>
      <w:r>
        <w:rPr>
          <w:rFonts w:ascii="宋体" w:hAnsi="宋体"/>
          <w:color w:val="000000"/>
          <w:sz w:val="24"/>
        </w:rPr>
        <w:t>体育专业加试采取联合加试办法</w:t>
      </w:r>
      <w:r>
        <w:rPr>
          <w:rFonts w:ascii="宋体" w:hAnsi="宋体" w:cs="宋体"/>
          <w:color w:val="000000"/>
          <w:sz w:val="24"/>
        </w:rPr>
        <w:t>。</w:t>
      </w:r>
      <w:r>
        <w:rPr>
          <w:rFonts w:ascii="宋体" w:hAnsi="宋体"/>
          <w:color w:val="000000"/>
          <w:sz w:val="24"/>
        </w:rPr>
        <w:t>省教育考试院继续委托扬州大学担任旅游管理</w:t>
      </w:r>
      <w:r>
        <w:rPr>
          <w:rFonts w:ascii="宋体" w:hAnsi="宋体" w:cs="宋体"/>
          <w:color w:val="000000"/>
          <w:sz w:val="24"/>
        </w:rPr>
        <w:t>、</w:t>
      </w:r>
      <w:r>
        <w:rPr>
          <w:rFonts w:ascii="宋体" w:hAnsi="宋体"/>
          <w:color w:val="000000"/>
          <w:sz w:val="24"/>
        </w:rPr>
        <w:t>烹饪专业</w:t>
      </w:r>
      <w:r>
        <w:rPr>
          <w:rFonts w:ascii="宋体" w:hAnsi="宋体" w:cs="宋体"/>
          <w:color w:val="000000"/>
          <w:sz w:val="24"/>
        </w:rPr>
        <w:t>加试</w:t>
      </w:r>
      <w:r>
        <w:rPr>
          <w:rFonts w:ascii="宋体" w:hAnsi="宋体"/>
          <w:color w:val="000000"/>
          <w:sz w:val="24"/>
        </w:rPr>
        <w:t>考点院校</w:t>
      </w:r>
      <w:r>
        <w:rPr>
          <w:rFonts w:ascii="宋体" w:hAnsi="宋体" w:cs="宋体"/>
          <w:color w:val="000000"/>
          <w:sz w:val="24"/>
        </w:rPr>
        <w:t>，南京体育学院</w:t>
      </w:r>
      <w:r>
        <w:rPr>
          <w:rFonts w:ascii="宋体" w:hAnsi="宋体"/>
          <w:color w:val="000000"/>
          <w:sz w:val="24"/>
        </w:rPr>
        <w:t>担任体育专业</w:t>
      </w:r>
      <w:r>
        <w:rPr>
          <w:rFonts w:ascii="宋体" w:hAnsi="宋体" w:cs="宋体"/>
          <w:color w:val="000000"/>
          <w:sz w:val="24"/>
        </w:rPr>
        <w:t>加试</w:t>
      </w:r>
      <w:r>
        <w:rPr>
          <w:rFonts w:ascii="宋体" w:hAnsi="宋体"/>
          <w:color w:val="000000"/>
          <w:sz w:val="24"/>
        </w:rPr>
        <w:t>考点院校</w:t>
      </w:r>
      <w:r>
        <w:rPr>
          <w:rFonts w:ascii="宋体" w:hAnsi="宋体" w:cs="宋体"/>
          <w:color w:val="000000"/>
          <w:sz w:val="24"/>
        </w:rPr>
        <w:t>。考点院校</w:t>
      </w:r>
      <w:r>
        <w:rPr>
          <w:rFonts w:ascii="宋体" w:hAnsi="宋体"/>
          <w:color w:val="000000"/>
          <w:sz w:val="24"/>
        </w:rPr>
        <w:t>负责相关术科专业加试的组织及命题、考试、评分等具体工作环节的实施。</w:t>
      </w:r>
    </w:p>
    <w:p>
      <w:pPr>
        <w:spacing w:line="360" w:lineRule="exact"/>
        <w:ind w:firstLine="480" w:firstLineChars="200"/>
        <w:rPr>
          <w:rFonts w:ascii="宋体" w:hAnsi="宋体"/>
          <w:sz w:val="24"/>
        </w:rPr>
      </w:pPr>
      <w:r>
        <w:rPr>
          <w:rFonts w:ascii="宋体" w:hAnsi="宋体"/>
          <w:color w:val="000000"/>
          <w:sz w:val="24"/>
        </w:rPr>
        <w:t>考点院校考前须向考试院报送《术科专业加试实施方案》，</w:t>
      </w:r>
      <w:r>
        <w:rPr>
          <w:rFonts w:ascii="宋体" w:hAnsi="宋体"/>
          <w:sz w:val="24"/>
        </w:rPr>
        <w:t>考后报送《术科专业加试成绩库》。</w:t>
      </w:r>
    </w:p>
    <w:p>
      <w:pPr>
        <w:spacing w:line="360" w:lineRule="exact"/>
        <w:ind w:firstLine="480" w:firstLineChars="200"/>
        <w:rPr>
          <w:rFonts w:ascii="宋体" w:hAnsi="宋体"/>
          <w:color w:val="000000"/>
          <w:sz w:val="24"/>
        </w:rPr>
      </w:pPr>
      <w:r>
        <w:rPr>
          <w:rFonts w:ascii="宋体" w:hAnsi="宋体"/>
          <w:color w:val="000000"/>
          <w:sz w:val="24"/>
        </w:rPr>
        <w:t>四、报名办法</w:t>
      </w:r>
    </w:p>
    <w:p>
      <w:pPr>
        <w:spacing w:line="360" w:lineRule="exact"/>
        <w:ind w:firstLine="480" w:firstLineChars="200"/>
        <w:rPr>
          <w:rFonts w:ascii="宋体" w:hAnsi="宋体"/>
          <w:color w:val="000000"/>
          <w:sz w:val="24"/>
        </w:rPr>
      </w:pPr>
      <w:r>
        <w:rPr>
          <w:rFonts w:ascii="宋体" w:hAnsi="宋体"/>
          <w:color w:val="000000"/>
          <w:sz w:val="24"/>
        </w:rPr>
        <w:t>1.统</w:t>
      </w:r>
      <w:r>
        <w:rPr>
          <w:rFonts w:ascii="宋体" w:hAnsi="宋体" w:cs="宋体"/>
          <w:color w:val="000000"/>
          <w:sz w:val="24"/>
        </w:rPr>
        <w:t>一加试、联合加试</w:t>
      </w:r>
      <w:r>
        <w:rPr>
          <w:rFonts w:ascii="宋体" w:hAnsi="宋体"/>
          <w:color w:val="000000"/>
          <w:sz w:val="24"/>
        </w:rPr>
        <w:t>报名时间： 9月</w:t>
      </w:r>
      <w:r>
        <w:rPr>
          <w:rFonts w:ascii="宋体" w:hAnsi="宋体" w:cs="宋体"/>
          <w:color w:val="000000"/>
          <w:sz w:val="24"/>
        </w:rPr>
        <w:t>2</w:t>
      </w:r>
      <w:r>
        <w:rPr>
          <w:rFonts w:hint="eastAsia" w:ascii="宋体" w:hAnsi="宋体" w:cs="宋体"/>
          <w:color w:val="000000"/>
          <w:sz w:val="24"/>
        </w:rPr>
        <w:t>7</w:t>
      </w:r>
      <w:r>
        <w:rPr>
          <w:rFonts w:ascii="宋体" w:hAnsi="宋体"/>
          <w:color w:val="000000"/>
          <w:sz w:val="24"/>
        </w:rPr>
        <w:t>日报名，9月</w:t>
      </w:r>
      <w:r>
        <w:rPr>
          <w:rFonts w:ascii="宋体" w:hAnsi="宋体" w:cs="宋体"/>
          <w:color w:val="000000"/>
          <w:sz w:val="24"/>
        </w:rPr>
        <w:t>2</w:t>
      </w:r>
      <w:r>
        <w:rPr>
          <w:rFonts w:hint="eastAsia" w:ascii="宋体" w:hAnsi="宋体" w:cs="宋体"/>
          <w:color w:val="000000"/>
          <w:sz w:val="24"/>
        </w:rPr>
        <w:t>8</w:t>
      </w:r>
      <w:r>
        <w:rPr>
          <w:rFonts w:ascii="宋体" w:hAnsi="宋体" w:cs="宋体"/>
          <w:color w:val="000000"/>
          <w:sz w:val="24"/>
        </w:rPr>
        <w:t>-2</w:t>
      </w:r>
      <w:r>
        <w:rPr>
          <w:rFonts w:hint="eastAsia" w:ascii="宋体" w:hAnsi="宋体" w:cs="宋体"/>
          <w:color w:val="000000"/>
          <w:sz w:val="24"/>
        </w:rPr>
        <w:t>9</w:t>
      </w:r>
      <w:r>
        <w:rPr>
          <w:rFonts w:ascii="宋体" w:hAnsi="宋体"/>
          <w:color w:val="000000"/>
          <w:sz w:val="24"/>
        </w:rPr>
        <w:t>日专业加试；院校单独</w:t>
      </w:r>
      <w:r>
        <w:rPr>
          <w:rFonts w:ascii="宋体" w:hAnsi="宋体" w:cs="宋体"/>
          <w:color w:val="000000"/>
          <w:sz w:val="24"/>
        </w:rPr>
        <w:t>加试及</w:t>
      </w:r>
      <w:r>
        <w:rPr>
          <w:rFonts w:ascii="宋体" w:hAnsi="宋体"/>
          <w:color w:val="000000"/>
          <w:sz w:val="24"/>
        </w:rPr>
        <w:t>改革项目试点院校术科专业报名和加试时间由考点学校自行确定并通知考生。</w:t>
      </w:r>
    </w:p>
    <w:p>
      <w:pPr>
        <w:spacing w:line="360" w:lineRule="exact"/>
        <w:ind w:firstLine="480" w:firstLineChars="200"/>
        <w:rPr>
          <w:rFonts w:ascii="宋体" w:hAnsi="宋体"/>
          <w:color w:val="000000"/>
          <w:sz w:val="24"/>
        </w:rPr>
      </w:pPr>
      <w:r>
        <w:rPr>
          <w:rFonts w:ascii="宋体" w:hAnsi="宋体"/>
          <w:color w:val="000000"/>
          <w:sz w:val="24"/>
        </w:rPr>
        <w:t>2.统</w:t>
      </w:r>
      <w:r>
        <w:rPr>
          <w:rFonts w:ascii="宋体" w:hAnsi="宋体" w:cs="宋体"/>
          <w:color w:val="000000"/>
          <w:sz w:val="24"/>
        </w:rPr>
        <w:t>一加试、联合加试</w:t>
      </w:r>
      <w:r>
        <w:rPr>
          <w:rFonts w:ascii="宋体" w:hAnsi="宋体"/>
          <w:color w:val="000000"/>
          <w:sz w:val="24"/>
        </w:rPr>
        <w:t>报名地点与加试地点相同。</w:t>
      </w:r>
    </w:p>
    <w:p>
      <w:pPr>
        <w:spacing w:line="360" w:lineRule="exact"/>
        <w:ind w:firstLine="480" w:firstLineChars="200"/>
        <w:rPr>
          <w:rFonts w:ascii="宋体" w:hAnsi="宋体"/>
          <w:color w:val="000000"/>
          <w:sz w:val="24"/>
        </w:rPr>
      </w:pPr>
      <w:r>
        <w:rPr>
          <w:rFonts w:ascii="宋体" w:hAnsi="宋体"/>
          <w:color w:val="000000"/>
          <w:sz w:val="24"/>
        </w:rPr>
        <w:t>①艺术类报名及专业加试地点：南京师范大学随园校区（南京宁海路122号）；</w:t>
      </w:r>
    </w:p>
    <w:p>
      <w:pPr>
        <w:spacing w:line="360" w:lineRule="exact"/>
        <w:ind w:firstLine="480" w:firstLineChars="200"/>
        <w:rPr>
          <w:rFonts w:ascii="宋体" w:hAnsi="宋体"/>
          <w:color w:val="000000"/>
          <w:sz w:val="24"/>
        </w:rPr>
      </w:pPr>
      <w:r>
        <w:rPr>
          <w:rFonts w:ascii="宋体" w:hAnsi="宋体"/>
          <w:color w:val="000000"/>
          <w:sz w:val="24"/>
        </w:rPr>
        <w:t>②体育专业报名及专业加试地点：南京体育学院（南京孝陵卫镇灵谷路8号）；</w:t>
      </w:r>
    </w:p>
    <w:p>
      <w:pPr>
        <w:spacing w:line="360" w:lineRule="exact"/>
        <w:ind w:firstLine="480" w:firstLineChars="200"/>
        <w:rPr>
          <w:rFonts w:ascii="宋体" w:hAnsi="宋体"/>
          <w:color w:val="000000"/>
          <w:sz w:val="24"/>
        </w:rPr>
      </w:pPr>
      <w:r>
        <w:rPr>
          <w:rFonts w:ascii="宋体" w:hAnsi="宋体"/>
          <w:color w:val="000000"/>
          <w:sz w:val="24"/>
        </w:rPr>
        <w:t>③旅游管理、烹饪专业报名及加试地点：扬州大学扬子津校区（扬州市华扬路196号）</w:t>
      </w:r>
    </w:p>
    <w:p>
      <w:pPr>
        <w:spacing w:line="360" w:lineRule="exact"/>
        <w:ind w:firstLine="480" w:firstLineChars="200"/>
        <w:rPr>
          <w:rFonts w:ascii="宋体" w:hAnsi="宋体"/>
          <w:color w:val="000000"/>
          <w:sz w:val="24"/>
        </w:rPr>
      </w:pPr>
      <w:r>
        <w:rPr>
          <w:rFonts w:ascii="宋体" w:hAnsi="宋体"/>
          <w:color w:val="000000"/>
          <w:sz w:val="24"/>
        </w:rPr>
        <w:t>④单独</w:t>
      </w:r>
      <w:r>
        <w:rPr>
          <w:rFonts w:ascii="宋体" w:hAnsi="宋体" w:cs="宋体"/>
          <w:color w:val="000000"/>
          <w:sz w:val="24"/>
        </w:rPr>
        <w:t>加试及</w:t>
      </w:r>
      <w:r>
        <w:rPr>
          <w:rFonts w:ascii="宋体" w:hAnsi="宋体"/>
          <w:color w:val="000000"/>
          <w:sz w:val="24"/>
        </w:rPr>
        <w:t>改革项目试点院校的术科专业加试由学校自行确定并通知考生。考生可直接向报考学校咨询。</w:t>
      </w:r>
    </w:p>
    <w:p>
      <w:pPr>
        <w:spacing w:line="360" w:lineRule="exact"/>
        <w:ind w:firstLine="480" w:firstLineChars="200"/>
        <w:rPr>
          <w:rFonts w:ascii="宋体" w:hAnsi="宋体"/>
          <w:color w:val="000000"/>
          <w:sz w:val="24"/>
        </w:rPr>
      </w:pPr>
      <w:r>
        <w:rPr>
          <w:rFonts w:ascii="宋体" w:hAnsi="宋体"/>
          <w:color w:val="000000"/>
          <w:sz w:val="24"/>
        </w:rPr>
        <w:t>3.加试考生须持本人《居民身份证》和《</w:t>
      </w:r>
      <w:r>
        <w:rPr>
          <w:rFonts w:hint="eastAsia" w:ascii="宋体" w:hAnsi="宋体"/>
          <w:color w:val="000000"/>
          <w:sz w:val="24"/>
          <w:lang w:val="en-US" w:eastAsia="zh-CN"/>
        </w:rPr>
        <w:t>考生</w:t>
      </w:r>
      <w:r>
        <w:rPr>
          <w:rFonts w:ascii="宋体" w:hAnsi="宋体"/>
          <w:color w:val="000000"/>
          <w:sz w:val="24"/>
        </w:rPr>
        <w:t>报名信息确认单》(</w:t>
      </w:r>
      <w:r>
        <w:rPr>
          <w:rFonts w:hint="eastAsia" w:ascii="宋体" w:hAnsi="宋体"/>
          <w:color w:val="000000"/>
          <w:sz w:val="24"/>
          <w:lang w:val="en-US" w:eastAsia="zh-CN"/>
        </w:rPr>
        <w:t>缴费完成后可下载打印</w:t>
      </w:r>
      <w:r>
        <w:rPr>
          <w:rFonts w:ascii="宋体" w:hAnsi="宋体"/>
          <w:color w:val="000000"/>
          <w:sz w:val="24"/>
        </w:rPr>
        <w:t>)按规定时间到指定的加试地点报名和加</w:t>
      </w:r>
      <w:bookmarkStart w:id="0" w:name="_GoBack"/>
      <w:bookmarkEnd w:id="0"/>
      <w:r>
        <w:rPr>
          <w:rFonts w:ascii="宋体" w:hAnsi="宋体"/>
          <w:color w:val="000000"/>
          <w:sz w:val="24"/>
        </w:rPr>
        <w:t>试。</w:t>
      </w:r>
    </w:p>
    <w:p>
      <w:pPr>
        <w:spacing w:line="360" w:lineRule="exact"/>
        <w:ind w:firstLine="480" w:firstLineChars="200"/>
        <w:rPr>
          <w:rFonts w:ascii="宋体" w:hAnsi="宋体"/>
          <w:color w:val="000000"/>
          <w:sz w:val="24"/>
        </w:rPr>
      </w:pPr>
      <w:r>
        <w:rPr>
          <w:rFonts w:ascii="宋体" w:hAnsi="宋体"/>
          <w:color w:val="000000"/>
          <w:sz w:val="24"/>
        </w:rPr>
        <w:t>4.每生只能选择一个术科专业报名加试。</w:t>
      </w:r>
    </w:p>
    <w:p>
      <w:pPr>
        <w:spacing w:line="360" w:lineRule="exact"/>
        <w:ind w:firstLine="480" w:firstLineChars="200"/>
        <w:rPr>
          <w:rFonts w:ascii="宋体" w:hAnsi="宋体"/>
          <w:color w:val="000000"/>
          <w:sz w:val="24"/>
        </w:rPr>
      </w:pPr>
      <w:r>
        <w:rPr>
          <w:rFonts w:ascii="宋体" w:hAnsi="宋体"/>
          <w:color w:val="000000"/>
          <w:sz w:val="24"/>
        </w:rPr>
        <w:t>5.具备文化考试免考资格的术科专业考生，仍须报名参加术科专业加试。</w:t>
      </w:r>
    </w:p>
    <w:p>
      <w:pPr>
        <w:spacing w:line="360" w:lineRule="exact"/>
        <w:ind w:firstLine="480" w:firstLineChars="200"/>
        <w:rPr>
          <w:rFonts w:ascii="宋体" w:hAnsi="宋体"/>
          <w:color w:val="000000"/>
          <w:sz w:val="24"/>
        </w:rPr>
      </w:pPr>
      <w:r>
        <w:rPr>
          <w:rFonts w:ascii="宋体" w:hAnsi="宋体"/>
          <w:color w:val="000000"/>
          <w:sz w:val="24"/>
        </w:rPr>
        <w:t>6.报名时，每生须缴纳加试报名费20元，考试费60元/科。</w:t>
      </w:r>
    </w:p>
    <w:p>
      <w:pPr>
        <w:spacing w:line="360" w:lineRule="exact"/>
        <w:ind w:firstLine="480" w:firstLineChars="200"/>
        <w:rPr>
          <w:rFonts w:ascii="宋体" w:hAnsi="宋体"/>
          <w:color w:val="000000"/>
          <w:sz w:val="24"/>
        </w:rPr>
      </w:pPr>
      <w:r>
        <w:rPr>
          <w:rFonts w:ascii="宋体" w:hAnsi="宋体"/>
          <w:color w:val="000000"/>
          <w:sz w:val="24"/>
        </w:rPr>
        <w:t>五、注意事项</w:t>
      </w:r>
    </w:p>
    <w:p>
      <w:pPr>
        <w:spacing w:line="360" w:lineRule="exact"/>
        <w:ind w:firstLine="480" w:firstLineChars="200"/>
        <w:rPr>
          <w:rFonts w:ascii="宋体" w:hAnsi="宋体"/>
          <w:color w:val="000000"/>
          <w:sz w:val="24"/>
        </w:rPr>
      </w:pPr>
      <w:r>
        <w:rPr>
          <w:rFonts w:ascii="宋体" w:hAnsi="宋体"/>
          <w:color w:val="000000"/>
          <w:sz w:val="24"/>
        </w:rPr>
        <w:t>1.音乐类：各专业课加试所需乐器（钢琴除外）、伴奏音带由考生自备。考生如需本考点院校代为安排伴奏，须在加试报名时向考点院校提出申请，伴奏乐谱考生自备。</w:t>
      </w:r>
    </w:p>
    <w:p>
      <w:pPr>
        <w:spacing w:line="360" w:lineRule="exact"/>
        <w:ind w:firstLine="480" w:firstLineChars="200"/>
        <w:rPr>
          <w:rFonts w:ascii="宋体" w:hAnsi="宋体"/>
          <w:color w:val="000000"/>
          <w:sz w:val="24"/>
        </w:rPr>
      </w:pPr>
      <w:r>
        <w:rPr>
          <w:rFonts w:ascii="宋体" w:hAnsi="宋体"/>
          <w:color w:val="000000"/>
          <w:sz w:val="24"/>
        </w:rPr>
        <w:t>2.美术类：各专业课加试所需画板（不小于四开纸）、画笔、颜料等作画工具考生自备。</w:t>
      </w:r>
    </w:p>
    <w:p>
      <w:pPr>
        <w:spacing w:line="360" w:lineRule="exact"/>
        <w:ind w:firstLine="480" w:firstLineChars="200"/>
        <w:rPr>
          <w:rFonts w:ascii="宋体" w:hAnsi="宋体"/>
          <w:color w:val="000000"/>
          <w:sz w:val="24"/>
        </w:rPr>
      </w:pPr>
      <w:r>
        <w:rPr>
          <w:rFonts w:ascii="宋体" w:hAnsi="宋体"/>
          <w:color w:val="000000"/>
          <w:sz w:val="24"/>
        </w:rPr>
        <w:t>3.舞蹈及表演专业：各专业课加试所需用品，如练功鞋、训练服及自选考试项目的伴奏带考生自备。</w:t>
      </w:r>
    </w:p>
    <w:p>
      <w:pPr>
        <w:spacing w:line="360" w:lineRule="exact"/>
        <w:ind w:firstLine="480" w:firstLineChars="200"/>
        <w:rPr>
          <w:rFonts w:ascii="宋体" w:hAnsi="宋体"/>
          <w:color w:val="000000"/>
          <w:sz w:val="24"/>
        </w:rPr>
      </w:pPr>
      <w:r>
        <w:rPr>
          <w:rFonts w:ascii="宋体" w:hAnsi="宋体"/>
          <w:color w:val="000000"/>
          <w:sz w:val="24"/>
        </w:rPr>
        <w:t>4.体育专业：考点院校可提供铅球。钉鞋、助跑器及其他用品由考生自备。</w:t>
      </w:r>
    </w:p>
    <w:p>
      <w:pPr>
        <w:spacing w:line="360" w:lineRule="exact"/>
        <w:ind w:firstLine="480" w:firstLineChars="200"/>
        <w:rPr>
          <w:rFonts w:ascii="宋体" w:hAnsi="宋体"/>
          <w:color w:val="000000"/>
          <w:sz w:val="24"/>
        </w:rPr>
      </w:pPr>
      <w:r>
        <w:rPr>
          <w:rFonts w:ascii="宋体" w:hAnsi="宋体"/>
          <w:color w:val="000000"/>
          <w:sz w:val="24"/>
        </w:rPr>
        <w:t>5.烹饪专业：考点院校只提供操作时所需原料。红案工作服、工作帽、刀具、抹布；白案工作服、工作帽、抹布、石棍及其他用品考生自备。</w:t>
      </w:r>
    </w:p>
    <w:p>
      <w:pPr>
        <w:spacing w:line="360" w:lineRule="exact"/>
        <w:ind w:firstLine="480" w:firstLineChars="200"/>
        <w:rPr>
          <w:rFonts w:ascii="宋体" w:hAnsi="宋体"/>
          <w:color w:val="000000"/>
          <w:sz w:val="24"/>
        </w:rPr>
      </w:pPr>
      <w:r>
        <w:rPr>
          <w:rFonts w:ascii="宋体" w:hAnsi="宋体"/>
          <w:color w:val="000000"/>
          <w:sz w:val="24"/>
        </w:rPr>
        <w:t>6.旅游管理专业：考生不得美容化妆。</w:t>
      </w:r>
    </w:p>
    <w:p>
      <w:pPr>
        <w:spacing w:line="360" w:lineRule="exact"/>
        <w:ind w:firstLine="480" w:firstLineChars="200"/>
        <w:rPr>
          <w:rFonts w:ascii="宋体" w:hAnsi="宋体"/>
          <w:color w:val="000000"/>
          <w:sz w:val="24"/>
        </w:rPr>
      </w:pPr>
      <w:r>
        <w:rPr>
          <w:rFonts w:ascii="宋体" w:hAnsi="宋体"/>
          <w:color w:val="000000"/>
          <w:sz w:val="24"/>
        </w:rPr>
        <w:t>7.考点院校应尽可能安排好考生的食宿，食宿费用考生自理。</w:t>
      </w:r>
    </w:p>
    <w:p>
      <w:pPr>
        <w:spacing w:line="360" w:lineRule="exact"/>
        <w:ind w:firstLine="480" w:firstLineChars="200"/>
        <w:rPr>
          <w:rFonts w:ascii="宋体" w:hAnsi="宋体"/>
          <w:color w:val="000000"/>
          <w:sz w:val="24"/>
        </w:rPr>
      </w:pPr>
      <w:r>
        <w:rPr>
          <w:rFonts w:ascii="宋体" w:hAnsi="宋体"/>
          <w:color w:val="000000"/>
          <w:sz w:val="24"/>
        </w:rPr>
        <w:t>8专业加试科目具体要求详见：江苏教育考试院网站（网址：www.jseea.cn）网上报名栏目中招考信息栏目内的《江苏省成人高校招生术科类专业（艺术、体育、旅游管理、烹饪）加试指南》。</w:t>
      </w:r>
    </w:p>
    <w:p>
      <w:pPr>
        <w:spacing w:line="360" w:lineRule="exact"/>
        <w:ind w:firstLine="480" w:firstLineChars="200"/>
        <w:rPr>
          <w:rFonts w:ascii="宋体" w:hAnsi="宋体"/>
          <w:color w:val="000000"/>
          <w:sz w:val="24"/>
        </w:rPr>
      </w:pPr>
      <w:r>
        <w:rPr>
          <w:rFonts w:ascii="宋体" w:hAnsi="宋体"/>
          <w:color w:val="000000"/>
          <w:sz w:val="24"/>
        </w:rPr>
        <w:t xml:space="preserve">六、术科专业加试的招生院校和专业以及专业加试科目加试地点。（附表一至表三） </w:t>
      </w:r>
    </w:p>
    <w:p>
      <w:pPr>
        <w:rPr>
          <w:rFonts w:ascii="宋体" w:hAnsi="宋体" w:cs="宋体"/>
          <w:color w:val="000000"/>
          <w:kern w:val="0"/>
          <w:sz w:val="24"/>
        </w:rPr>
      </w:pPr>
    </w:p>
    <w:p>
      <w:pPr>
        <w:rPr>
          <w:rFonts w:ascii="宋体" w:hAnsi="宋体"/>
          <w:color w:val="000000"/>
          <w:sz w:val="24"/>
        </w:rPr>
      </w:pPr>
      <w:r>
        <w:rPr>
          <w:rFonts w:hint="eastAsia" w:ascii="宋体" w:hAnsi="宋体"/>
          <w:color w:val="000000"/>
          <w:sz w:val="24"/>
        </w:rPr>
        <w:t>表一：艺术类</w:t>
      </w:r>
    </w:p>
    <w:tbl>
      <w:tblPr>
        <w:tblStyle w:val="8"/>
        <w:tblW w:w="9101" w:type="dxa"/>
        <w:tblInd w:w="0" w:type="dxa"/>
        <w:tblLayout w:type="fixed"/>
        <w:tblCellMar>
          <w:top w:w="0" w:type="dxa"/>
          <w:left w:w="57" w:type="dxa"/>
          <w:bottom w:w="0" w:type="dxa"/>
          <w:right w:w="57" w:type="dxa"/>
        </w:tblCellMar>
      </w:tblPr>
      <w:tblGrid>
        <w:gridCol w:w="501"/>
        <w:gridCol w:w="2201"/>
        <w:gridCol w:w="504"/>
        <w:gridCol w:w="504"/>
        <w:gridCol w:w="1766"/>
        <w:gridCol w:w="732"/>
        <w:gridCol w:w="732"/>
        <w:gridCol w:w="732"/>
        <w:gridCol w:w="1429"/>
      </w:tblGrid>
      <w:tr>
        <w:tblPrEx>
          <w:tblCellMar>
            <w:top w:w="0" w:type="dxa"/>
            <w:left w:w="57" w:type="dxa"/>
            <w:bottom w:w="0" w:type="dxa"/>
            <w:right w:w="57" w:type="dxa"/>
          </w:tblCellMar>
        </w:tblPrEx>
        <w:trPr>
          <w:trHeight w:val="450" w:hRule="atLeast"/>
        </w:trPr>
        <w:tc>
          <w:tcPr>
            <w:tcW w:w="5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院校代码</w:t>
            </w:r>
          </w:p>
        </w:tc>
        <w:tc>
          <w:tcPr>
            <w:tcW w:w="22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院校名称</w:t>
            </w:r>
          </w:p>
        </w:tc>
        <w:tc>
          <w:tcPr>
            <w:tcW w:w="5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加试编码</w:t>
            </w:r>
          </w:p>
        </w:tc>
        <w:tc>
          <w:tcPr>
            <w:tcW w:w="5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专业代号</w:t>
            </w:r>
          </w:p>
        </w:tc>
        <w:tc>
          <w:tcPr>
            <w:tcW w:w="17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专业名称</w:t>
            </w:r>
          </w:p>
        </w:tc>
        <w:tc>
          <w:tcPr>
            <w:tcW w:w="7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层次</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名称</w:t>
            </w:r>
          </w:p>
        </w:tc>
        <w:tc>
          <w:tcPr>
            <w:tcW w:w="732"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加试科目一</w:t>
            </w:r>
          </w:p>
        </w:tc>
        <w:tc>
          <w:tcPr>
            <w:tcW w:w="732"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加试科目二</w:t>
            </w:r>
          </w:p>
        </w:tc>
        <w:tc>
          <w:tcPr>
            <w:tcW w:w="1429"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加试地点</w:t>
            </w: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南京师范大学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南京师范大学（南京市鼓楼区宁海路122号）</w:t>
            </w: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hint="eastAsia" w:ascii="宋体" w:hAnsi="宋体" w:cs="宋体"/>
                <w:color w:val="000000"/>
                <w:kern w:val="0"/>
                <w:sz w:val="20"/>
                <w:szCs w:val="20"/>
              </w:rPr>
            </w:pPr>
          </w:p>
          <w:p>
            <w:pPr>
              <w:widowControl/>
              <w:spacing w:line="300" w:lineRule="exact"/>
              <w:jc w:val="center"/>
              <w:textAlignment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南京师范大学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南京艺术学院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001</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450"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022</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南京体育学院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Z4</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001</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表演</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表演</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台词（含演唱）</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钟山职业技术学院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南京铁道职业技术学院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室内艺术设计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039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南京晓庄学院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040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金肯职业技术学院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041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001</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常州工学院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常州工学院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常州工学院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常州工学院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052</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江苏理工学院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052</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江苏理工学院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027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常州信息职业技术学院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数字媒体艺术设计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057</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无锡南洋职业技术学院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059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江苏信息职业技术学院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009</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动漫设计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067</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苏州职业大学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视觉传播设计与制作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069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苏州工业园区职业技术学院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073</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常熟理工学院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073</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常熟理工学院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服装与服饰设计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080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扬州市职业大学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数字媒体艺术设计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080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扬州市职业大学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009</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081</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江海职业技术学院（扬州）</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090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090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美术学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090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090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090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南通大学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淮阴师范学院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淮阴师范学院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美术学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105</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淮阴工学院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盐城师范学院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盐城师范学院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美术学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盐城师范学院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视觉传达设计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盐城工学院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盐城工学院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宿迁学院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135</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江苏建筑职业技术学院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视觉传播设计与制作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135</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江苏建筑职业技术学院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数字媒体艺术设计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江苏经贸职业技术学院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数字媒体艺术设计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江苏经贸职业技术学院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江苏经贸职业技术学院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019</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198</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镇江市高等专科学校</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广告设计与制作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江苏城乡建设职业学院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视觉传播设计与制作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广告设计与制作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007</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服装与服饰设计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008</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009</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陶瓷设计与工艺</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222</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江阴职业技术学院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服装与服饰设计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苏州工艺美术职业技术学院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001</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工艺美术品设计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247</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泰州学院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Z2</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音乐学</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视唱</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声乐或器乐</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江南影视艺术职业学院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250</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江南影视艺术职业学院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G5</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005</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歌舞表演</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舞蹈基本功</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舞蹈表演</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江苏工程职业技术学院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009</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视觉传播设计与制作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江苏工程职业技术学院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010</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产品艺术设计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江苏工程职业技术学院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011</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服装与服饰设计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254</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江苏工程职业技术学院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环境艺术设计</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450"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819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四平农村成人高等专科学校</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G4</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戏曲表演</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表演</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台词（含演唱）</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55"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819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四平农村成人高等专科学校</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G1</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014</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新闻采编与制作</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素描</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色彩</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900"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中国传媒大学（北京）</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Z3</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002</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广播电视编导</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文艺评论</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戏剧影视作品赏析</w:t>
            </w:r>
          </w:p>
        </w:tc>
        <w:tc>
          <w:tcPr>
            <w:tcW w:w="14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中国传媒大学南广学院（联系电话：025-86179097）</w:t>
            </w:r>
          </w:p>
        </w:tc>
      </w:tr>
      <w:tr>
        <w:tblPrEx>
          <w:tblCellMar>
            <w:top w:w="0" w:type="dxa"/>
            <w:left w:w="57" w:type="dxa"/>
            <w:bottom w:w="0" w:type="dxa"/>
            <w:right w:w="57" w:type="dxa"/>
          </w:tblCellMar>
        </w:tblPrEx>
        <w:trPr>
          <w:trHeight w:val="687" w:hRule="atLeast"/>
        </w:trPr>
        <w:tc>
          <w:tcPr>
            <w:tcW w:w="5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499</w:t>
            </w:r>
          </w:p>
        </w:tc>
        <w:tc>
          <w:tcPr>
            <w:tcW w:w="2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中国传媒大学（北京）</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Z6</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003</w:t>
            </w:r>
          </w:p>
        </w:tc>
        <w:tc>
          <w:tcPr>
            <w:tcW w:w="17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播音与主持艺术</w:t>
            </w:r>
          </w:p>
        </w:tc>
        <w:tc>
          <w:tcPr>
            <w:tcW w:w="7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专升本</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普通话语音</w:t>
            </w:r>
          </w:p>
        </w:tc>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14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bl>
    <w:p>
      <w:pPr>
        <w:rPr>
          <w:rFonts w:ascii="宋体" w:hAnsi="宋体" w:cs="宋体"/>
          <w:color w:val="000000"/>
          <w:kern w:val="0"/>
          <w:sz w:val="24"/>
        </w:rPr>
      </w:pPr>
    </w:p>
    <w:p>
      <w:pPr>
        <w:rPr>
          <w:rFonts w:ascii="宋体" w:hAnsi="宋体"/>
          <w:color w:val="000000"/>
          <w:sz w:val="24"/>
        </w:rPr>
      </w:pPr>
      <w:r>
        <w:rPr>
          <w:rFonts w:hint="eastAsia" w:ascii="宋体" w:hAnsi="宋体"/>
          <w:color w:val="000000"/>
          <w:sz w:val="24"/>
        </w:rPr>
        <w:t>表二：旅游管理类</w:t>
      </w:r>
    </w:p>
    <w:tbl>
      <w:tblPr>
        <w:tblStyle w:val="8"/>
        <w:tblW w:w="9101" w:type="dxa"/>
        <w:tblInd w:w="0" w:type="dxa"/>
        <w:tblLayout w:type="fixed"/>
        <w:tblCellMar>
          <w:top w:w="0" w:type="dxa"/>
          <w:left w:w="57" w:type="dxa"/>
          <w:bottom w:w="0" w:type="dxa"/>
          <w:right w:w="57" w:type="dxa"/>
        </w:tblCellMar>
      </w:tblPr>
      <w:tblGrid>
        <w:gridCol w:w="504"/>
        <w:gridCol w:w="2199"/>
        <w:gridCol w:w="504"/>
        <w:gridCol w:w="1107"/>
        <w:gridCol w:w="684"/>
        <w:gridCol w:w="936"/>
        <w:gridCol w:w="937"/>
        <w:gridCol w:w="2230"/>
      </w:tblGrid>
      <w:tr>
        <w:tblPrEx>
          <w:tblCellMar>
            <w:top w:w="0" w:type="dxa"/>
            <w:left w:w="57" w:type="dxa"/>
            <w:bottom w:w="0" w:type="dxa"/>
            <w:right w:w="57" w:type="dxa"/>
          </w:tblCellMar>
        </w:tblPrEx>
        <w:trPr>
          <w:trHeight w:val="527" w:hRule="atLeast"/>
        </w:trPr>
        <w:tc>
          <w:tcPr>
            <w:tcW w:w="504"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院校代号</w:t>
            </w:r>
          </w:p>
        </w:tc>
        <w:tc>
          <w:tcPr>
            <w:tcW w:w="2199"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院校名称</w:t>
            </w:r>
          </w:p>
        </w:tc>
        <w:tc>
          <w:tcPr>
            <w:tcW w:w="504"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专业代号</w:t>
            </w:r>
          </w:p>
        </w:tc>
        <w:tc>
          <w:tcPr>
            <w:tcW w:w="1107"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专业名称</w:t>
            </w:r>
          </w:p>
        </w:tc>
        <w:tc>
          <w:tcPr>
            <w:tcW w:w="684"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层次</w:t>
            </w:r>
            <w:r>
              <w:rPr>
                <w:rFonts w:hint="eastAsia" w:ascii="黑体" w:hAnsi="黑体" w:eastAsia="黑体" w:cs="宋体"/>
                <w:color w:val="000000"/>
                <w:kern w:val="0"/>
                <w:sz w:val="20"/>
                <w:szCs w:val="20"/>
              </w:rPr>
              <w:br w:type="textWrapping"/>
            </w:r>
            <w:r>
              <w:rPr>
                <w:rFonts w:hint="eastAsia" w:ascii="黑体" w:hAnsi="黑体" w:eastAsia="黑体" w:cs="宋体"/>
                <w:color w:val="000000"/>
                <w:kern w:val="0"/>
                <w:sz w:val="20"/>
                <w:szCs w:val="20"/>
              </w:rPr>
              <w:t>名称</w:t>
            </w:r>
          </w:p>
        </w:tc>
        <w:tc>
          <w:tcPr>
            <w:tcW w:w="936"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加试</w:t>
            </w:r>
          </w:p>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科目一</w:t>
            </w:r>
          </w:p>
        </w:tc>
        <w:tc>
          <w:tcPr>
            <w:tcW w:w="937"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加试</w:t>
            </w:r>
          </w:p>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科目二</w:t>
            </w:r>
          </w:p>
        </w:tc>
        <w:tc>
          <w:tcPr>
            <w:tcW w:w="2230"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加试地点</w:t>
            </w: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057</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无锡南洋职业技术学院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004</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宋体" w:hAnsi="宋体" w:cs="宋体"/>
                <w:color w:val="000000"/>
                <w:sz w:val="20"/>
                <w:szCs w:val="20"/>
              </w:rPr>
            </w:pPr>
            <w:r>
              <w:rPr>
                <w:rFonts w:hint="eastAsia" w:ascii="宋体" w:hAnsi="宋体" w:cs="宋体"/>
                <w:color w:val="000000"/>
                <w:kern w:val="0"/>
                <w:sz w:val="20"/>
                <w:szCs w:val="20"/>
              </w:rPr>
              <w:t>扬州大学扬子津校区（扬州市华扬路196号（校区南门））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上网可查到达路线网址：http://cjc.yzu.edu.cn/</w:t>
            </w: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067</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苏州职业大学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011</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068</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苏州托普信息职业技术学院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酒店管理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076</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057</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080</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扬州市职业大学</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酒店管理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081</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江海职业技术学院（扬州）</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011</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110</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连云港职业技术学院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006</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高起本</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110</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连云港职业技术学院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007</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酒店管理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139</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江苏经贸职业技术学院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016</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216</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无锡工艺职业技术学院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004</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276</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扬州教育学院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013</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r>
        <w:tblPrEx>
          <w:tblCellMar>
            <w:top w:w="0" w:type="dxa"/>
            <w:left w:w="57" w:type="dxa"/>
            <w:bottom w:w="0" w:type="dxa"/>
            <w:right w:w="57" w:type="dxa"/>
          </w:tblCellMar>
        </w:tblPrEx>
        <w:trPr>
          <w:trHeight w:val="285" w:hRule="atLeast"/>
        </w:trPr>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276</w:t>
            </w:r>
          </w:p>
        </w:tc>
        <w:tc>
          <w:tcPr>
            <w:tcW w:w="21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扬州教育学院</w:t>
            </w:r>
          </w:p>
        </w:tc>
        <w:tc>
          <w:tcPr>
            <w:tcW w:w="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Arial"/>
                <w:color w:val="000000"/>
                <w:sz w:val="20"/>
                <w:szCs w:val="20"/>
              </w:rPr>
            </w:pPr>
            <w:r>
              <w:rPr>
                <w:rFonts w:ascii="宋体" w:hAnsi="宋体" w:cs="Arial"/>
                <w:color w:val="000000"/>
                <w:kern w:val="0"/>
                <w:sz w:val="20"/>
                <w:szCs w:val="20"/>
              </w:rPr>
              <w:t>014</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旅游管理</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高起专</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形体测试</w:t>
            </w:r>
          </w:p>
        </w:tc>
        <w:tc>
          <w:tcPr>
            <w:tcW w:w="937"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语言表达</w:t>
            </w:r>
          </w:p>
        </w:tc>
        <w:tc>
          <w:tcPr>
            <w:tcW w:w="22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hAnsi="宋体" w:cs="宋体"/>
                <w:color w:val="000000"/>
                <w:sz w:val="20"/>
                <w:szCs w:val="20"/>
              </w:rPr>
            </w:pPr>
          </w:p>
        </w:tc>
      </w:tr>
    </w:tbl>
    <w:p>
      <w:pPr>
        <w:rPr>
          <w:rFonts w:hint="eastAsia" w:ascii="宋体" w:hAnsi="宋体" w:cs="宋体"/>
          <w:color w:val="000000"/>
          <w:kern w:val="0"/>
          <w:sz w:val="24"/>
        </w:rPr>
      </w:pPr>
    </w:p>
    <w:p>
      <w:pPr>
        <w:rPr>
          <w:rFonts w:hint="eastAsia" w:ascii="宋体" w:hAnsi="宋体" w:cs="宋体"/>
          <w:color w:val="000000"/>
          <w:kern w:val="0"/>
          <w:sz w:val="24"/>
        </w:rPr>
      </w:pPr>
    </w:p>
    <w:p>
      <w:pPr>
        <w:rPr>
          <w:rFonts w:hint="eastAsia" w:ascii="宋体" w:hAnsi="宋体" w:cs="宋体"/>
          <w:color w:val="000000"/>
          <w:kern w:val="0"/>
          <w:sz w:val="24"/>
        </w:rPr>
      </w:pPr>
    </w:p>
    <w:p>
      <w:pPr>
        <w:rPr>
          <w:rFonts w:ascii="宋体" w:hAnsi="宋体" w:cs="宋体"/>
          <w:color w:val="000000"/>
          <w:kern w:val="0"/>
          <w:sz w:val="24"/>
        </w:rPr>
      </w:pPr>
    </w:p>
    <w:p>
      <w:pPr>
        <w:rPr>
          <w:color w:val="FF0000"/>
        </w:rPr>
      </w:pPr>
      <w:r>
        <w:rPr>
          <w:rFonts w:hint="eastAsia" w:ascii="宋体" w:hAnsi="宋体" w:cs="宋体"/>
          <w:color w:val="000000"/>
          <w:kern w:val="0"/>
          <w:sz w:val="24"/>
        </w:rPr>
        <w:t>表三：烹饪类</w:t>
      </w:r>
    </w:p>
    <w:tbl>
      <w:tblPr>
        <w:tblStyle w:val="8"/>
        <w:tblW w:w="9060" w:type="dxa"/>
        <w:tblInd w:w="0" w:type="dxa"/>
        <w:tblLayout w:type="fixed"/>
        <w:tblCellMar>
          <w:top w:w="0" w:type="dxa"/>
          <w:left w:w="57" w:type="dxa"/>
          <w:bottom w:w="0" w:type="dxa"/>
          <w:right w:w="57" w:type="dxa"/>
        </w:tblCellMar>
      </w:tblPr>
      <w:tblGrid>
        <w:gridCol w:w="570"/>
        <w:gridCol w:w="2707"/>
        <w:gridCol w:w="578"/>
        <w:gridCol w:w="1560"/>
        <w:gridCol w:w="900"/>
        <w:gridCol w:w="1185"/>
        <w:gridCol w:w="1560"/>
      </w:tblGrid>
      <w:tr>
        <w:tblPrEx>
          <w:tblCellMar>
            <w:top w:w="0" w:type="dxa"/>
            <w:left w:w="57" w:type="dxa"/>
            <w:bottom w:w="0" w:type="dxa"/>
            <w:right w:w="57" w:type="dxa"/>
          </w:tblCellMar>
        </w:tblPrEx>
        <w:trPr>
          <w:trHeight w:val="525" w:hRule="atLeast"/>
        </w:trPr>
        <w:tc>
          <w:tcPr>
            <w:tcW w:w="570"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院校代号</w:t>
            </w:r>
          </w:p>
        </w:tc>
        <w:tc>
          <w:tcPr>
            <w:tcW w:w="2707"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院校名称</w:t>
            </w:r>
          </w:p>
        </w:tc>
        <w:tc>
          <w:tcPr>
            <w:tcW w:w="578"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专业代号</w:t>
            </w:r>
          </w:p>
        </w:tc>
        <w:tc>
          <w:tcPr>
            <w:tcW w:w="1560"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专业名称</w:t>
            </w:r>
          </w:p>
        </w:tc>
        <w:tc>
          <w:tcPr>
            <w:tcW w:w="900" w:type="dxa"/>
            <w:tcBorders>
              <w:top w:val="single" w:color="000000" w:sz="4" w:space="0"/>
              <w:left w:val="single" w:color="000000" w:sz="4" w:space="0"/>
              <w:bottom w:val="nil"/>
              <w:right w:val="nil"/>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层次名称</w:t>
            </w:r>
          </w:p>
        </w:tc>
        <w:tc>
          <w:tcPr>
            <w:tcW w:w="1185"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加试科目</w:t>
            </w:r>
          </w:p>
        </w:tc>
        <w:tc>
          <w:tcPr>
            <w:tcW w:w="1560" w:type="dxa"/>
            <w:tcBorders>
              <w:top w:val="single" w:color="000000" w:sz="4" w:space="0"/>
              <w:left w:val="single" w:color="000000" w:sz="4" w:space="0"/>
              <w:bottom w:val="nil"/>
              <w:right w:val="single" w:color="000000" w:sz="4" w:space="0"/>
            </w:tcBorders>
            <w:shd w:val="clear" w:color="auto" w:fill="C0C0C0"/>
            <w:tcMar>
              <w:top w:w="15" w:type="dxa"/>
              <w:left w:w="15" w:type="dxa"/>
              <w:right w:w="15" w:type="dxa"/>
            </w:tcMar>
            <w:vAlign w:val="center"/>
          </w:tcPr>
          <w:p>
            <w:pPr>
              <w:widowControl/>
              <w:spacing w:line="300" w:lineRule="exact"/>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rPr>
              <w:t>加试地点</w:t>
            </w:r>
          </w:p>
        </w:tc>
      </w:tr>
      <w:tr>
        <w:tblPrEx>
          <w:tblCellMar>
            <w:top w:w="0" w:type="dxa"/>
            <w:left w:w="57" w:type="dxa"/>
            <w:bottom w:w="0" w:type="dxa"/>
            <w:right w:w="57" w:type="dxa"/>
          </w:tblCellMar>
        </w:tblPrEx>
        <w:trPr>
          <w:trHeight w:val="270" w:hRule="atLeast"/>
        </w:trPr>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00" w:lineRule="exact"/>
              <w:jc w:val="center"/>
              <w:textAlignment w:val="bottom"/>
              <w:rPr>
                <w:rFonts w:ascii="宋体" w:hAnsi="宋体" w:cs="宋体"/>
                <w:color w:val="000000"/>
                <w:sz w:val="20"/>
                <w:szCs w:val="20"/>
              </w:rPr>
            </w:pPr>
            <w:r>
              <w:rPr>
                <w:rFonts w:hint="eastAsia" w:ascii="宋体" w:hAnsi="宋体" w:cs="宋体"/>
                <w:color w:val="000000"/>
                <w:kern w:val="0"/>
                <w:sz w:val="20"/>
                <w:szCs w:val="20"/>
              </w:rPr>
              <w:t>081</w:t>
            </w:r>
          </w:p>
        </w:tc>
        <w:tc>
          <w:tcPr>
            <w:tcW w:w="2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江海职业技术学院（扬州）</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00" w:lineRule="exact"/>
              <w:jc w:val="center"/>
              <w:textAlignment w:val="bottom"/>
              <w:rPr>
                <w:rFonts w:ascii="宋体" w:hAnsi="宋体" w:cs="宋体"/>
                <w:color w:val="000000"/>
                <w:sz w:val="20"/>
                <w:szCs w:val="20"/>
              </w:rPr>
            </w:pPr>
            <w:r>
              <w:rPr>
                <w:rFonts w:hint="eastAsia" w:ascii="宋体" w:hAnsi="宋体" w:cs="宋体"/>
                <w:color w:val="000000"/>
                <w:kern w:val="0"/>
                <w:sz w:val="20"/>
                <w:szCs w:val="20"/>
              </w:rPr>
              <w:t>010</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烹调工艺与营养</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spacing w:line="300" w:lineRule="exact"/>
              <w:jc w:val="center"/>
              <w:textAlignment w:val="bottom"/>
              <w:rPr>
                <w:rFonts w:ascii="宋体" w:hAnsi="宋体" w:cs="宋体"/>
                <w:color w:val="000000"/>
                <w:sz w:val="20"/>
                <w:szCs w:val="20"/>
              </w:rPr>
            </w:pPr>
            <w:r>
              <w:rPr>
                <w:rFonts w:hint="eastAsia" w:ascii="宋体" w:hAnsi="宋体" w:cs="宋体"/>
                <w:color w:val="000000"/>
                <w:kern w:val="0"/>
                <w:sz w:val="20"/>
                <w:szCs w:val="20"/>
              </w:rPr>
              <w:t>高起专</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红案或白案</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扬州大学扬子津校区（扬州市华扬路196号（校区南门））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TC-6b636587">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小标宋简体">
    <w:altName w:val="仿宋_GB2312"/>
    <w:panose1 w:val="00000000000000000000"/>
    <w:charset w:val="86"/>
    <w:family w:val="script"/>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42"/>
    <w:rsid w:val="00063D29"/>
    <w:rsid w:val="004C3715"/>
    <w:rsid w:val="007C7B42"/>
    <w:rsid w:val="00D62DC2"/>
    <w:rsid w:val="00E234E7"/>
    <w:rsid w:val="12A8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25"/>
    <w:qFormat/>
    <w:uiPriority w:val="0"/>
    <w:pPr>
      <w:ind w:firstLine="720" w:firstLineChars="240"/>
    </w:pPr>
    <w:rPr>
      <w:rFonts w:ascii="仿宋_GB2312" w:eastAsia="仿宋_GB2312"/>
      <w:sz w:val="30"/>
      <w:szCs w:val="20"/>
    </w:rPr>
  </w:style>
  <w:style w:type="paragraph" w:styleId="3">
    <w:name w:val="Plain Text"/>
    <w:basedOn w:val="1"/>
    <w:link w:val="16"/>
    <w:qFormat/>
    <w:uiPriority w:val="0"/>
    <w:rPr>
      <w:rFonts w:ascii="宋体" w:hAnsi="Courier New"/>
      <w:szCs w:val="20"/>
    </w:rPr>
  </w:style>
  <w:style w:type="paragraph" w:styleId="4">
    <w:name w:val="Balloon Text"/>
    <w:basedOn w:val="1"/>
    <w:link w:val="17"/>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rFonts w:hint="default" w:ascii="Times New Roman"/>
      <w:b/>
      <w:sz w:val="24"/>
    </w:rPr>
  </w:style>
  <w:style w:type="character" w:styleId="12">
    <w:name w:val="page number"/>
    <w:basedOn w:val="10"/>
    <w:qFormat/>
    <w:uiPriority w:val="0"/>
  </w:style>
  <w:style w:type="character" w:styleId="13">
    <w:name w:val="FollowedHyperlink"/>
    <w:basedOn w:val="10"/>
    <w:unhideWhenUsed/>
    <w:qFormat/>
    <w:uiPriority w:val="99"/>
    <w:rPr>
      <w:color w:val="800080"/>
      <w:u w:val="single"/>
    </w:rPr>
  </w:style>
  <w:style w:type="character" w:styleId="14">
    <w:name w:val="Hyperlink"/>
    <w:qFormat/>
    <w:uiPriority w:val="99"/>
    <w:rPr>
      <w:color w:val="0000FF"/>
      <w:u w:val="single"/>
    </w:rPr>
  </w:style>
  <w:style w:type="character" w:customStyle="1" w:styleId="15">
    <w:name w:val="正文文本缩进 Char"/>
    <w:basedOn w:val="10"/>
    <w:qFormat/>
    <w:uiPriority w:val="0"/>
    <w:rPr>
      <w:rFonts w:ascii="Times New Roman" w:hAnsi="Times New Roman" w:eastAsia="宋体" w:cs="Times New Roman"/>
      <w:szCs w:val="24"/>
    </w:rPr>
  </w:style>
  <w:style w:type="character" w:customStyle="1" w:styleId="16">
    <w:name w:val="纯文本 Char"/>
    <w:basedOn w:val="10"/>
    <w:link w:val="3"/>
    <w:qFormat/>
    <w:uiPriority w:val="0"/>
    <w:rPr>
      <w:rFonts w:ascii="宋体" w:hAnsi="Courier New" w:eastAsia="宋体" w:cs="Times New Roman"/>
      <w:szCs w:val="20"/>
    </w:rPr>
  </w:style>
  <w:style w:type="character" w:customStyle="1" w:styleId="17">
    <w:name w:val="批注框文本 Char"/>
    <w:basedOn w:val="10"/>
    <w:link w:val="4"/>
    <w:qFormat/>
    <w:uiPriority w:val="0"/>
    <w:rPr>
      <w:rFonts w:ascii="Times New Roman" w:hAnsi="Times New Roman" w:eastAsia="宋体" w:cs="Times New Roman"/>
      <w:sz w:val="18"/>
      <w:szCs w:val="18"/>
    </w:rPr>
  </w:style>
  <w:style w:type="character" w:customStyle="1" w:styleId="18">
    <w:name w:val="页脚 Char"/>
    <w:basedOn w:val="10"/>
    <w:link w:val="5"/>
    <w:qFormat/>
    <w:uiPriority w:val="99"/>
    <w:rPr>
      <w:rFonts w:ascii="Times New Roman" w:hAnsi="Times New Roman" w:eastAsia="宋体" w:cs="Times New Roman"/>
      <w:sz w:val="18"/>
      <w:szCs w:val="18"/>
    </w:rPr>
  </w:style>
  <w:style w:type="character" w:customStyle="1" w:styleId="19">
    <w:name w:val="页眉 Char"/>
    <w:basedOn w:val="10"/>
    <w:link w:val="6"/>
    <w:qFormat/>
    <w:uiPriority w:val="99"/>
    <w:rPr>
      <w:rFonts w:ascii="Times New Roman" w:hAnsi="Times New Roman" w:eastAsia="宋体" w:cs="Times New Roman"/>
      <w:sz w:val="18"/>
      <w:szCs w:val="18"/>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ATC-6b636587" w:hAnsi="Times New Roman" w:eastAsia="ATC-6b636587" w:cs="Arial"/>
      <w:color w:val="000000"/>
      <w:kern w:val="0"/>
      <w:sz w:val="24"/>
      <w:szCs w:val="24"/>
      <w:lang w:val="zh-CN" w:eastAsia="zh-CN" w:bidi="ar-SA"/>
    </w:rPr>
  </w:style>
  <w:style w:type="paragraph" w:customStyle="1" w:styleId="21">
    <w:name w:val="[基本段落]"/>
    <w:basedOn w:val="20"/>
    <w:qFormat/>
    <w:uiPriority w:val="99"/>
  </w:style>
  <w:style w:type="paragraph" w:styleId="22">
    <w:name w:val="List Paragraph"/>
    <w:basedOn w:val="1"/>
    <w:unhideWhenUsed/>
    <w:qFormat/>
    <w:uiPriority w:val="99"/>
    <w:pPr>
      <w:ind w:firstLine="420" w:firstLineChars="200"/>
    </w:pPr>
  </w:style>
  <w:style w:type="character" w:customStyle="1" w:styleId="23">
    <w:name w:val="纯文本 Char1"/>
    <w:basedOn w:val="10"/>
    <w:qFormat/>
    <w:uiPriority w:val="0"/>
    <w:rPr>
      <w:rFonts w:ascii="宋体" w:hAnsi="Courier New" w:cs="Courier New"/>
      <w:kern w:val="2"/>
      <w:sz w:val="21"/>
      <w:szCs w:val="21"/>
    </w:rPr>
  </w:style>
  <w:style w:type="character" w:customStyle="1" w:styleId="24">
    <w:name w:val="正文文本缩进 Char1"/>
    <w:basedOn w:val="10"/>
    <w:qFormat/>
    <w:uiPriority w:val="0"/>
    <w:rPr>
      <w:kern w:val="2"/>
      <w:sz w:val="21"/>
    </w:rPr>
  </w:style>
  <w:style w:type="character" w:customStyle="1" w:styleId="25">
    <w:name w:val="正文文本缩进 Char2"/>
    <w:basedOn w:val="10"/>
    <w:link w:val="2"/>
    <w:qFormat/>
    <w:uiPriority w:val="0"/>
    <w:rPr>
      <w:rFonts w:ascii="仿宋_GB2312" w:hAnsi="Times New Roman" w:eastAsia="仿宋_GB2312" w:cs="Times New Roman"/>
      <w:sz w:val="30"/>
      <w:szCs w:val="20"/>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
    <w:name w:val="xl8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2">
    <w:name w:val="xl70"/>
    <w:basedOn w:val="1"/>
    <w:qFormat/>
    <w:uiPriority w:val="0"/>
    <w:pPr>
      <w:widowControl/>
      <w:pBdr>
        <w:top w:val="single" w:color="000000" w:sz="4" w:space="0"/>
        <w:left w:val="single" w:color="000000" w:sz="4" w:space="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33">
    <w:name w:val="xl68"/>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34">
    <w:name w:val="xl69"/>
    <w:basedOn w:val="1"/>
    <w:qFormat/>
    <w:uiPriority w:val="0"/>
    <w:pPr>
      <w:widowControl/>
      <w:pBdr>
        <w:top w:val="single" w:color="000000" w:sz="4" w:space="0"/>
        <w:left w:val="single" w:color="000000" w:sz="4" w:space="0"/>
        <w:right w:val="single" w:color="000000" w:sz="4" w:space="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35">
    <w:name w:val="xl67"/>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6">
    <w:name w:val="xl7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9">
    <w:name w:val="xl71"/>
    <w:basedOn w:val="1"/>
    <w:qFormat/>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4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1">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
    <w:name w:val="font2"/>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4">
    <w:name w:val="font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45">
    <w:name w:val="font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6">
    <w:name w:val="font8"/>
    <w:basedOn w:val="1"/>
    <w:qFormat/>
    <w:uiPriority w:val="0"/>
    <w:pPr>
      <w:widowControl/>
      <w:spacing w:before="100" w:beforeAutospacing="1" w:after="100" w:afterAutospacing="1"/>
      <w:jc w:val="left"/>
    </w:pPr>
    <w:rPr>
      <w:rFonts w:ascii="宋体" w:hAnsi="宋体" w:cs="宋体"/>
      <w:strike/>
      <w:color w:val="000000"/>
      <w:kern w:val="0"/>
      <w:sz w:val="18"/>
      <w:szCs w:val="18"/>
    </w:rPr>
  </w:style>
  <w:style w:type="paragraph" w:customStyle="1" w:styleId="47">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8">
    <w:name w:val="et45"/>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49">
    <w:name w:val="et4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0">
    <w:name w:val="et47"/>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1">
    <w:name w:val="et48"/>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52">
    <w:name w:val="et49"/>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3">
    <w:name w:val="et5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4">
    <w:name w:val="et5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5">
    <w:name w:val="et54"/>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6">
    <w:name w:val="et55"/>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7">
    <w:name w:val="et5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8">
    <w:name w:val="et58"/>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59">
    <w:name w:val="et5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60">
    <w:name w:val="et6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1">
    <w:name w:val="et6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2">
    <w:name w:val="et62"/>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3">
    <w:name w:val="et64"/>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4">
    <w:name w:val="et6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5">
    <w:name w:val="et67"/>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6">
    <w:name w:val="et68"/>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7">
    <w:name w:val="et69"/>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8">
    <w:name w:val="et71"/>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69">
    <w:name w:val="et72"/>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0">
    <w:name w:val="et74"/>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1">
    <w:name w:val="et7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2">
    <w:name w:val="et76"/>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3">
    <w:name w:val="et77"/>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4">
    <w:name w:val="et7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5">
    <w:name w:val="et8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6">
    <w:name w:val="et82"/>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7">
    <w:name w:val="et8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78">
    <w:name w:val="et8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79">
    <w:name w:val="et87"/>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0">
    <w:name w:val="et88"/>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1">
    <w:name w:val="et89"/>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2">
    <w:name w:val="et90"/>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3">
    <w:name w:val="et92"/>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4">
    <w:name w:val="et93"/>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5">
    <w:name w:val="et94"/>
    <w:basedOn w:val="1"/>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86">
    <w:name w:val="et9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87">
    <w:name w:val="et9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8">
    <w:name w:val="et98"/>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89">
    <w:name w:val="et99"/>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0">
    <w:name w:val="et10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1">
    <w:name w:val="et10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2">
    <w:name w:val="et102"/>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93">
    <w:name w:val="et104"/>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4">
    <w:name w:val="et10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95">
    <w:name w:val="et106"/>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6">
    <w:name w:val="et107"/>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7">
    <w:name w:val="et108"/>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98">
    <w:name w:val="et109"/>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99">
    <w:name w:val="et11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0">
    <w:name w:val="et112"/>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1">
    <w:name w:val="et113"/>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2">
    <w:name w:val="et114"/>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3">
    <w:name w:val="et115"/>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4">
    <w:name w:val="et121"/>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5">
    <w:name w:val="et12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6">
    <w:name w:val="et12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7">
    <w:name w:val="et124"/>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08">
    <w:name w:val="et125"/>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09">
    <w:name w:val="et12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0">
    <w:name w:val="et127"/>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1">
    <w:name w:val="et128"/>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2">
    <w:name w:val="et129"/>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3">
    <w:name w:val="et13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4">
    <w:name w:val="et132"/>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5">
    <w:name w:val="et133"/>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6">
    <w:name w:val="et134"/>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17">
    <w:name w:val="et136"/>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8">
    <w:name w:val="et138"/>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19">
    <w:name w:val="et139"/>
    <w:basedOn w:val="1"/>
    <w:uiPriority w:val="0"/>
    <w:pPr>
      <w:widowControl/>
      <w:spacing w:before="100" w:beforeAutospacing="1" w:after="100" w:afterAutospacing="1"/>
      <w:jc w:val="left"/>
      <w:textAlignment w:val="bottom"/>
    </w:pPr>
    <w:rPr>
      <w:rFonts w:ascii="宋体" w:hAnsi="宋体" w:cs="宋体"/>
      <w:color w:val="0000FF"/>
      <w:kern w:val="0"/>
      <w:sz w:val="22"/>
      <w:szCs w:val="22"/>
      <w:u w:val="single"/>
    </w:rPr>
  </w:style>
  <w:style w:type="paragraph" w:customStyle="1" w:styleId="120">
    <w:name w:val="et140"/>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1">
    <w:name w:val="et14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2">
    <w:name w:val="et142"/>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3">
    <w:name w:val="et143"/>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4">
    <w:name w:val="et14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25">
    <w:name w:val="et145"/>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6">
    <w:name w:val="et147"/>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7">
    <w:name w:val="et15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8">
    <w:name w:val="et151"/>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29">
    <w:name w:val="et15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30">
    <w:name w:val="et153"/>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31">
    <w:name w:val="et154"/>
    <w:basedOn w:val="1"/>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32">
    <w:name w:val="et155"/>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3">
    <w:name w:val="et156"/>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4">
    <w:name w:val="et157"/>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5">
    <w:name w:val="et158"/>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6">
    <w:name w:val="et16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7">
    <w:name w:val="et161"/>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8">
    <w:name w:val="et162"/>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39">
    <w:name w:val="et164"/>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paragraph" w:customStyle="1" w:styleId="140">
    <w:name w:val="et166"/>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41">
    <w:name w:val="et167"/>
    <w:basedOn w:val="1"/>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42">
    <w:name w:val="et170"/>
    <w:basedOn w:val="1"/>
    <w:qFormat/>
    <w:uiPriority w:val="0"/>
    <w:pPr>
      <w:widowControl/>
      <w:spacing w:before="100" w:beforeAutospacing="1" w:after="100" w:afterAutospacing="1"/>
      <w:jc w:val="left"/>
      <w:textAlignment w:val="bottom"/>
    </w:pPr>
    <w:rPr>
      <w:rFonts w:ascii="宋体" w:hAnsi="宋体" w:cs="宋体"/>
      <w:color w:val="000000"/>
      <w:kern w:val="0"/>
      <w:sz w:val="24"/>
    </w:rPr>
  </w:style>
  <w:style w:type="paragraph" w:customStyle="1" w:styleId="143">
    <w:name w:val="et171"/>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4">
    <w:name w:val="et172"/>
    <w:basedOn w:val="1"/>
    <w:qFormat/>
    <w:uiPriority w:val="0"/>
    <w:pPr>
      <w:widowControl/>
      <w:spacing w:before="100" w:beforeAutospacing="1" w:after="100" w:afterAutospacing="1"/>
      <w:jc w:val="left"/>
      <w:textAlignment w:val="bottom"/>
    </w:pPr>
    <w:rPr>
      <w:rFonts w:ascii="宋体" w:hAnsi="宋体" w:cs="宋体"/>
      <w:color w:val="000000"/>
      <w:kern w:val="0"/>
      <w:sz w:val="22"/>
      <w:szCs w:val="22"/>
    </w:rPr>
  </w:style>
  <w:style w:type="character" w:customStyle="1" w:styleId="145">
    <w:name w:val="font31"/>
    <w:basedOn w:val="10"/>
    <w:qFormat/>
    <w:uiPriority w:val="0"/>
    <w:rPr>
      <w:rFonts w:hint="default" w:ascii="Arial" w:hAnsi="Arial" w:cs="Arial"/>
      <w:color w:val="000000"/>
      <w:sz w:val="18"/>
      <w:szCs w:val="18"/>
      <w:u w:val="none"/>
    </w:rPr>
  </w:style>
  <w:style w:type="character" w:customStyle="1" w:styleId="146">
    <w:name w:val="font91"/>
    <w:basedOn w:val="10"/>
    <w:uiPriority w:val="0"/>
    <w:rPr>
      <w:rFonts w:hint="eastAsia" w:ascii="宋体" w:hAnsi="宋体" w:eastAsia="宋体"/>
      <w:color w:val="000000"/>
      <w:sz w:val="18"/>
      <w:szCs w:val="18"/>
      <w:u w:val="none"/>
    </w:rPr>
  </w:style>
  <w:style w:type="character" w:customStyle="1" w:styleId="147">
    <w:name w:val="font81"/>
    <w:basedOn w:val="10"/>
    <w:qFormat/>
    <w:uiPriority w:val="0"/>
    <w:rPr>
      <w:rFonts w:hint="eastAsia" w:ascii="宋体" w:hAnsi="宋体" w:eastAsia="宋体"/>
      <w:strike/>
      <w:color w:val="000000"/>
      <w:sz w:val="18"/>
      <w:szCs w:val="18"/>
    </w:rPr>
  </w:style>
  <w:style w:type="character" w:customStyle="1" w:styleId="148">
    <w:name w:val="font21"/>
    <w:basedOn w:val="10"/>
    <w:qFormat/>
    <w:uiPriority w:val="0"/>
    <w:rPr>
      <w:rFonts w:hint="default" w:ascii="Arial" w:hAnsi="Arial" w:cs="Arial"/>
      <w:color w:val="000000"/>
      <w:sz w:val="18"/>
      <w:szCs w:val="18"/>
      <w:u w:val="none"/>
    </w:rPr>
  </w:style>
  <w:style w:type="character" w:customStyle="1" w:styleId="149">
    <w:name w:val="font41"/>
    <w:basedOn w:val="10"/>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692</Words>
  <Characters>3945</Characters>
  <Lines>32</Lines>
  <Paragraphs>9</Paragraphs>
  <TotalTime>1</TotalTime>
  <ScaleCrop>false</ScaleCrop>
  <LinksUpToDate>false</LinksUpToDate>
  <CharactersWithSpaces>4628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2019-09-02T02:58:00Z</dcterms:created>
  <dc:creator>hp</dc:creator>
  <cp:lastModifiedBy>清心</cp:lastModifiedBy>
  <dcterms:modified xsi:type="dcterms:W3CDTF">2019-09-04T02:57:42Z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