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黑体" w:eastAsia="黑体" w:cs="方正小标宋简体"/>
          <w:color w:val="000000" w:themeColor="text1"/>
          <w:sz w:val="32"/>
          <w:szCs w:val="32"/>
          <w14:textFill>
            <w14:solidFill>
              <w14:schemeClr w14:val="tx1"/>
            </w14:solidFill>
          </w14:textFill>
        </w:rPr>
      </w:pPr>
      <w:r>
        <w:rPr>
          <w:rFonts w:hint="eastAsia" w:ascii="黑体" w:hAnsi="黑体" w:eastAsia="黑体" w:cs="方正小标宋简体"/>
          <w:color w:val="000000" w:themeColor="text1"/>
          <w:sz w:val="32"/>
          <w:szCs w:val="32"/>
          <w:lang w:val="zh-CN"/>
          <w14:textFill>
            <w14:solidFill>
              <w14:schemeClr w14:val="tx1"/>
            </w14:solidFill>
          </w14:textFill>
        </w:rPr>
        <w:t>附件2-20</w:t>
      </w:r>
    </w:p>
    <w:p>
      <w:pPr>
        <w:spacing w:line="360" w:lineRule="auto"/>
        <w:rPr>
          <w:rFonts w:ascii="黑体" w:hAnsi="黑体" w:eastAsia="黑体" w:cs="方正小标宋简体"/>
          <w:sz w:val="32"/>
          <w:szCs w:val="32"/>
          <w:lang w:val="zh-CN"/>
        </w:rPr>
      </w:pPr>
    </w:p>
    <w:p>
      <w:pPr>
        <w:spacing w:line="560" w:lineRule="exact"/>
        <w:jc w:val="center"/>
        <w:rPr>
          <w:rFonts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2023年江苏省中等职业学校学生学业水平考试</w:t>
      </w:r>
    </w:p>
    <w:p>
      <w:pPr>
        <w:spacing w:line="560" w:lineRule="exact"/>
        <w:jc w:val="center"/>
        <w:rPr>
          <w:rFonts w:hint="eastAsia"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幼儿发展与健康管理类专业基本技能考试</w:t>
      </w:r>
    </w:p>
    <w:p>
      <w:pPr>
        <w:spacing w:line="560" w:lineRule="exact"/>
        <w:jc w:val="center"/>
        <w:rPr>
          <w:rFonts w:ascii="Times New Roman" w:hAnsi="Times New Roman" w:eastAsia="方正小标宋简体" w:cs="Times New Roman"/>
          <w:kern w:val="0"/>
          <w:sz w:val="40"/>
          <w:szCs w:val="40"/>
          <w:lang w:val="zh-CN"/>
        </w:rPr>
      </w:pPr>
      <w:r>
        <w:rPr>
          <w:rFonts w:hint="eastAsia" w:ascii="方正小标宋简体" w:hAnsi="华文中宋" w:eastAsia="方正小标宋简体" w:cs="宋体"/>
          <w:kern w:val="0"/>
          <w:sz w:val="40"/>
          <w:szCs w:val="40"/>
        </w:rPr>
        <w:t>指导性</w:t>
      </w:r>
      <w:r>
        <w:rPr>
          <w:rFonts w:hint="eastAsia" w:ascii="Times New Roman" w:hAnsi="Times New Roman" w:eastAsia="方正小标宋简体" w:cs="Times New Roman"/>
          <w:kern w:val="0"/>
          <w:sz w:val="40"/>
          <w:szCs w:val="40"/>
          <w:lang w:val="zh-CN"/>
        </w:rPr>
        <w:t>实施方案</w:t>
      </w:r>
    </w:p>
    <w:p>
      <w:pPr>
        <w:spacing w:before="156" w:beforeLines="50" w:after="156" w:afterLines="50" w:line="400" w:lineRule="exact"/>
        <w:ind w:firstLine="640" w:firstLineChars="200"/>
        <w:outlineLvl w:val="0"/>
        <w:rPr>
          <w:rFonts w:ascii="Times New Roman" w:hAnsi="Times New Roman" w:eastAsia="黑体" w:cs="黑体"/>
          <w:bCs/>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bCs/>
          <w:kern w:val="0"/>
          <w:sz w:val="32"/>
          <w:szCs w:val="32"/>
        </w:rPr>
      </w:pPr>
      <w:r>
        <w:rPr>
          <w:rFonts w:ascii="Times New Roman" w:hAnsi="Times New Roman" w:eastAsia="黑体" w:cs="黑体"/>
          <w:bCs/>
          <w:kern w:val="0"/>
          <w:sz w:val="32"/>
          <w:szCs w:val="32"/>
        </w:rPr>
        <w:t>一、考试对象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面向全省中等职业学校（含技工院校）20</w:t>
      </w:r>
      <w:r>
        <w:rPr>
          <w:rFonts w:ascii="Times New Roman" w:hAnsi="Times New Roman" w:eastAsia="仿宋" w:cs="仿宋"/>
          <w:kern w:val="0"/>
          <w:sz w:val="32"/>
          <w:szCs w:val="32"/>
        </w:rPr>
        <w:t>2</w:t>
      </w:r>
      <w:r>
        <w:rPr>
          <w:rFonts w:hint="eastAsia" w:ascii="Times New Roman" w:hAnsi="Times New Roman" w:eastAsia="仿宋" w:cs="仿宋"/>
          <w:kern w:val="0"/>
          <w:sz w:val="32"/>
          <w:szCs w:val="32"/>
        </w:rPr>
        <w:t>4届幼儿保育相关专业考生。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现代职教体系“3+3”“3+4”试点项目20</w:t>
      </w:r>
      <w:r>
        <w:rPr>
          <w:rFonts w:ascii="Times New Roman" w:hAnsi="Times New Roman" w:eastAsia="仿宋" w:cs="仿宋"/>
          <w:kern w:val="0"/>
          <w:sz w:val="32"/>
          <w:szCs w:val="32"/>
        </w:rPr>
        <w:t>2</w:t>
      </w:r>
      <w:r>
        <w:rPr>
          <w:rFonts w:hint="eastAsia" w:ascii="Times New Roman" w:hAnsi="Times New Roman" w:eastAsia="仿宋" w:cs="仿宋"/>
          <w:kern w:val="0"/>
          <w:sz w:val="32"/>
          <w:szCs w:val="32"/>
        </w:rPr>
        <w:t>4届学生须参加考试。五年制高等职业技术学校学生是否参加考试，由各市教育局统筹安排。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bCs/>
          <w:kern w:val="0"/>
          <w:sz w:val="32"/>
          <w:szCs w:val="32"/>
        </w:rPr>
      </w:pPr>
      <w:r>
        <w:rPr>
          <w:rFonts w:ascii="Times New Roman" w:hAnsi="Times New Roman" w:eastAsia="黑体" w:cs="黑体"/>
          <w:bCs/>
          <w:kern w:val="0"/>
          <w:sz w:val="32"/>
          <w:szCs w:val="32"/>
        </w:rPr>
        <w:t>二、考试内容、方式</w:t>
      </w:r>
      <w:r>
        <w:rPr>
          <w:rFonts w:hint="eastAsia" w:ascii="Times New Roman" w:hAnsi="Times New Roman" w:eastAsia="黑体" w:cs="黑体"/>
          <w:bCs/>
          <w:kern w:val="0"/>
          <w:sz w:val="32"/>
          <w:szCs w:val="32"/>
        </w:rPr>
        <w:t>、时长</w:t>
      </w:r>
      <w:r>
        <w:rPr>
          <w:rFonts w:ascii="Times New Roman" w:hAnsi="Times New Roman" w:eastAsia="黑体" w:cs="黑体"/>
          <w:bCs/>
          <w:kern w:val="0"/>
          <w:sz w:val="32"/>
          <w:szCs w:val="32"/>
        </w:rPr>
        <w:t>及</w:t>
      </w:r>
      <w:r>
        <w:rPr>
          <w:rFonts w:hint="eastAsia" w:ascii="Times New Roman" w:hAnsi="Times New Roman" w:eastAsia="黑体" w:cs="黑体"/>
          <w:bCs/>
          <w:kern w:val="0"/>
          <w:sz w:val="32"/>
          <w:szCs w:val="32"/>
        </w:rPr>
        <w:t>配分</w:t>
      </w:r>
    </w:p>
    <w:tbl>
      <w:tblPr>
        <w:tblStyle w:val="8"/>
        <w:tblW w:w="4865"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20"/>
        <w:gridCol w:w="1296"/>
        <w:gridCol w:w="1849"/>
        <w:gridCol w:w="1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0" w:type="auto"/>
            <w:vAlign w:val="center"/>
          </w:tcPr>
          <w:p>
            <w:pPr>
              <w:spacing w:line="36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考试内容</w:t>
            </w:r>
          </w:p>
        </w:tc>
        <w:tc>
          <w:tcPr>
            <w:tcW w:w="0" w:type="auto"/>
            <w:vAlign w:val="center"/>
          </w:tcPr>
          <w:p>
            <w:pPr>
              <w:spacing w:line="360" w:lineRule="auto"/>
              <w:contextualSpacing/>
              <w:jc w:val="center"/>
              <w:rPr>
                <w:rFonts w:hint="eastAsia" w:ascii="仿宋_GB2312" w:hAnsi="仿宋_GB2312" w:eastAsia="仿宋_GB2312" w:cs="仿宋_GB2312"/>
                <w:sz w:val="32"/>
                <w:szCs w:val="32"/>
              </w:rPr>
            </w:pPr>
            <w:r>
              <w:rPr>
                <w:rFonts w:hint="eastAsia" w:ascii="仿宋_GB2312" w:hAnsi="仿宋_GB2312" w:eastAsia="仿宋_GB2312" w:cs="仿宋_GB2312"/>
                <w:b/>
                <w:sz w:val="24"/>
              </w:rPr>
              <w:t>方式</w:t>
            </w:r>
          </w:p>
        </w:tc>
        <w:tc>
          <w:tcPr>
            <w:tcW w:w="0" w:type="auto"/>
            <w:vAlign w:val="center"/>
          </w:tcPr>
          <w:p>
            <w:pPr>
              <w:spacing w:line="360" w:lineRule="auto"/>
              <w:contextualSpacing/>
              <w:jc w:val="center"/>
              <w:rPr>
                <w:rFonts w:hint="eastAsia" w:ascii="仿宋_GB2312" w:hAnsi="仿宋_GB2312" w:eastAsia="仿宋_GB2312" w:cs="仿宋_GB2312"/>
                <w:sz w:val="32"/>
                <w:szCs w:val="32"/>
              </w:rPr>
            </w:pPr>
            <w:r>
              <w:rPr>
                <w:rFonts w:hint="eastAsia" w:ascii="仿宋_GB2312" w:hAnsi="仿宋_GB2312" w:eastAsia="仿宋_GB2312" w:cs="仿宋_GB2312"/>
                <w:b/>
                <w:sz w:val="24"/>
              </w:rPr>
              <w:t>时长</w:t>
            </w:r>
          </w:p>
        </w:tc>
        <w:tc>
          <w:tcPr>
            <w:tcW w:w="0" w:type="auto"/>
            <w:vAlign w:val="center"/>
          </w:tcPr>
          <w:p>
            <w:pPr>
              <w:spacing w:line="360" w:lineRule="auto"/>
              <w:contextualSpacing/>
              <w:jc w:val="center"/>
              <w:rPr>
                <w:rFonts w:hint="eastAsia" w:ascii="仿宋_GB2312" w:hAnsi="仿宋_GB2312" w:eastAsia="仿宋_GB2312" w:cs="仿宋_GB2312"/>
                <w:sz w:val="32"/>
                <w:szCs w:val="32"/>
              </w:rPr>
            </w:pPr>
            <w:r>
              <w:rPr>
                <w:rFonts w:hint="eastAsia" w:ascii="仿宋_GB2312" w:hAnsi="仿宋_GB2312" w:eastAsia="仿宋_GB2312" w:cs="仿宋_GB2312"/>
                <w:b/>
                <w:sz w:val="24"/>
              </w:rPr>
              <w:t>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0" w:type="auto"/>
            <w:vAlign w:val="center"/>
          </w:tcPr>
          <w:p>
            <w:pPr>
              <w:spacing w:line="360" w:lineRule="auto"/>
              <w:contextualSpacing/>
              <w:jc w:val="center"/>
              <w:rPr>
                <w:rFonts w:ascii="Times New Roman" w:hAnsi="Times New Roman" w:eastAsia="仿宋" w:cs="仿宋"/>
                <w:kern w:val="0"/>
                <w:sz w:val="24"/>
                <w:szCs w:val="24"/>
              </w:rPr>
            </w:pPr>
            <w:r>
              <w:rPr>
                <w:rFonts w:hint="eastAsia" w:ascii="Times New Roman" w:hAnsi="Times New Roman" w:eastAsia="仿宋" w:cs="仿宋"/>
                <w:kern w:val="0"/>
                <w:sz w:val="24"/>
                <w:szCs w:val="24"/>
              </w:rPr>
              <w:t>儿童主题画创作</w:t>
            </w:r>
          </w:p>
        </w:tc>
        <w:tc>
          <w:tcPr>
            <w:tcW w:w="0" w:type="auto"/>
            <w:vAlign w:val="center"/>
          </w:tcPr>
          <w:p>
            <w:pPr>
              <w:spacing w:line="360" w:lineRule="auto"/>
              <w:contextualSpacing/>
              <w:jc w:val="center"/>
              <w:rPr>
                <w:rFonts w:ascii="Times New Roman" w:hAnsi="Times New Roman" w:eastAsia="仿宋" w:cs="仿宋"/>
                <w:kern w:val="0"/>
                <w:sz w:val="24"/>
                <w:szCs w:val="24"/>
              </w:rPr>
            </w:pPr>
            <w:r>
              <w:rPr>
                <w:rFonts w:hint="eastAsia" w:ascii="Times New Roman" w:hAnsi="Times New Roman" w:eastAsia="仿宋" w:cs="仿宋"/>
                <w:kern w:val="0"/>
                <w:sz w:val="24"/>
                <w:szCs w:val="24"/>
              </w:rPr>
              <w:t>实操</w:t>
            </w:r>
          </w:p>
        </w:tc>
        <w:tc>
          <w:tcPr>
            <w:tcW w:w="0" w:type="auto"/>
            <w:vAlign w:val="center"/>
          </w:tcPr>
          <w:p>
            <w:pPr>
              <w:spacing w:line="360" w:lineRule="auto"/>
              <w:contextualSpacing/>
              <w:jc w:val="center"/>
              <w:rPr>
                <w:rFonts w:ascii="Times New Roman" w:hAnsi="Times New Roman" w:eastAsia="仿宋" w:cs="仿宋"/>
                <w:kern w:val="0"/>
                <w:sz w:val="24"/>
                <w:szCs w:val="24"/>
              </w:rPr>
            </w:pPr>
            <w:r>
              <w:rPr>
                <w:rFonts w:hint="eastAsia" w:ascii="Times New Roman" w:hAnsi="Times New Roman" w:eastAsia="宋体"/>
                <w:sz w:val="24"/>
              </w:rPr>
              <w:t>60</w:t>
            </w:r>
            <w:r>
              <w:rPr>
                <w:rFonts w:hint="eastAsia" w:ascii="Times New Roman" w:hAnsi="Times New Roman" w:eastAsia="仿宋" w:cs="仿宋"/>
                <w:kern w:val="0"/>
                <w:sz w:val="24"/>
                <w:szCs w:val="24"/>
              </w:rPr>
              <w:t>分钟</w:t>
            </w:r>
          </w:p>
        </w:tc>
        <w:tc>
          <w:tcPr>
            <w:tcW w:w="0" w:type="auto"/>
            <w:vAlign w:val="center"/>
          </w:tcPr>
          <w:p>
            <w:pPr>
              <w:spacing w:line="360" w:lineRule="auto"/>
              <w:contextualSpacing/>
              <w:jc w:val="center"/>
              <w:rPr>
                <w:rFonts w:ascii="Times New Roman" w:hAnsi="Times New Roman" w:eastAsia="仿宋" w:cs="仿宋"/>
                <w:kern w:val="0"/>
                <w:sz w:val="24"/>
                <w:szCs w:val="24"/>
              </w:rPr>
            </w:pPr>
            <w:r>
              <w:rPr>
                <w:rFonts w:hint="eastAsia" w:ascii="Times New Roman" w:hAnsi="Times New Roman" w:eastAsia="宋体"/>
                <w:sz w:val="24"/>
              </w:rPr>
              <w:t>50</w:t>
            </w:r>
            <w:r>
              <w:rPr>
                <w:rFonts w:hint="eastAsia" w:ascii="Times New Roman" w:hAnsi="Times New Roman" w:eastAsia="仿宋" w:cs="仿宋"/>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0" w:type="auto"/>
            <w:vAlign w:val="center"/>
          </w:tcPr>
          <w:p>
            <w:pPr>
              <w:spacing w:line="360" w:lineRule="auto"/>
              <w:contextualSpacing/>
              <w:jc w:val="center"/>
              <w:rPr>
                <w:rFonts w:ascii="Times New Roman" w:hAnsi="Times New Roman" w:eastAsia="仿宋" w:cs="仿宋"/>
                <w:kern w:val="0"/>
                <w:sz w:val="24"/>
                <w:szCs w:val="24"/>
              </w:rPr>
            </w:pPr>
            <w:r>
              <w:rPr>
                <w:rFonts w:hint="eastAsia" w:ascii="Times New Roman" w:hAnsi="Times New Roman" w:eastAsia="仿宋" w:cs="仿宋"/>
                <w:kern w:val="0"/>
                <w:sz w:val="24"/>
                <w:szCs w:val="24"/>
              </w:rPr>
              <w:t>儿童歌曲弹奏</w:t>
            </w:r>
          </w:p>
        </w:tc>
        <w:tc>
          <w:tcPr>
            <w:tcW w:w="0" w:type="auto"/>
            <w:vAlign w:val="center"/>
          </w:tcPr>
          <w:p>
            <w:pPr>
              <w:spacing w:line="360" w:lineRule="auto"/>
              <w:contextualSpacing/>
              <w:jc w:val="center"/>
              <w:rPr>
                <w:rFonts w:ascii="Times New Roman" w:hAnsi="Times New Roman" w:eastAsia="仿宋" w:cs="仿宋"/>
                <w:kern w:val="0"/>
                <w:sz w:val="24"/>
                <w:szCs w:val="24"/>
              </w:rPr>
            </w:pPr>
            <w:r>
              <w:rPr>
                <w:rFonts w:hint="eastAsia" w:ascii="Times New Roman" w:hAnsi="Times New Roman" w:eastAsia="仿宋" w:cs="仿宋"/>
                <w:kern w:val="0"/>
                <w:sz w:val="24"/>
                <w:szCs w:val="24"/>
              </w:rPr>
              <w:t>实操</w:t>
            </w:r>
          </w:p>
        </w:tc>
        <w:tc>
          <w:tcPr>
            <w:tcW w:w="0" w:type="auto"/>
            <w:vAlign w:val="center"/>
          </w:tcPr>
          <w:p>
            <w:pPr>
              <w:spacing w:line="360" w:lineRule="auto"/>
              <w:contextualSpacing/>
              <w:jc w:val="center"/>
              <w:rPr>
                <w:rFonts w:ascii="Times New Roman" w:hAnsi="Times New Roman" w:eastAsia="仿宋" w:cs="仿宋"/>
                <w:kern w:val="0"/>
                <w:sz w:val="24"/>
                <w:szCs w:val="24"/>
              </w:rPr>
            </w:pPr>
            <w:r>
              <w:rPr>
                <w:rFonts w:hint="eastAsia" w:ascii="Times New Roman" w:hAnsi="Times New Roman" w:eastAsia="宋体"/>
                <w:sz w:val="24"/>
              </w:rPr>
              <w:t>25</w:t>
            </w:r>
            <w:r>
              <w:rPr>
                <w:rFonts w:hint="eastAsia" w:ascii="Times New Roman" w:hAnsi="Times New Roman" w:eastAsia="仿宋" w:cs="仿宋"/>
                <w:kern w:val="0"/>
                <w:sz w:val="24"/>
                <w:szCs w:val="24"/>
              </w:rPr>
              <w:t>分钟</w:t>
            </w:r>
          </w:p>
        </w:tc>
        <w:tc>
          <w:tcPr>
            <w:tcW w:w="0" w:type="auto"/>
            <w:vAlign w:val="center"/>
          </w:tcPr>
          <w:p>
            <w:pPr>
              <w:spacing w:line="360" w:lineRule="auto"/>
              <w:contextualSpacing/>
              <w:jc w:val="center"/>
              <w:rPr>
                <w:rFonts w:ascii="Times New Roman" w:hAnsi="Times New Roman" w:eastAsia="仿宋" w:cs="仿宋"/>
                <w:kern w:val="0"/>
                <w:sz w:val="24"/>
                <w:szCs w:val="24"/>
              </w:rPr>
            </w:pPr>
            <w:r>
              <w:rPr>
                <w:rFonts w:hint="eastAsia" w:ascii="Times New Roman" w:hAnsi="Times New Roman" w:eastAsia="仿宋" w:cs="仿宋"/>
                <w:kern w:val="0"/>
                <w:sz w:val="24"/>
                <w:szCs w:val="24"/>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0" w:type="auto"/>
            <w:gridSpan w:val="2"/>
            <w:vAlign w:val="center"/>
          </w:tcPr>
          <w:p>
            <w:pPr>
              <w:spacing w:line="360" w:lineRule="auto"/>
              <w:contextualSpacing/>
              <w:jc w:val="center"/>
              <w:rPr>
                <w:rFonts w:ascii="Times New Roman" w:hAnsi="Times New Roman" w:eastAsia="仿宋" w:cs="仿宋"/>
                <w:kern w:val="0"/>
                <w:sz w:val="24"/>
                <w:szCs w:val="24"/>
              </w:rPr>
            </w:pPr>
            <w:r>
              <w:rPr>
                <w:rFonts w:hint="eastAsia" w:ascii="Times New Roman" w:hAnsi="Times New Roman" w:eastAsia="仿宋" w:cs="仿宋"/>
                <w:kern w:val="0"/>
                <w:sz w:val="24"/>
                <w:szCs w:val="24"/>
              </w:rPr>
              <w:t>总计</w:t>
            </w:r>
          </w:p>
        </w:tc>
        <w:tc>
          <w:tcPr>
            <w:tcW w:w="0" w:type="auto"/>
            <w:vAlign w:val="center"/>
          </w:tcPr>
          <w:p>
            <w:pPr>
              <w:spacing w:line="360" w:lineRule="auto"/>
              <w:contextualSpacing/>
              <w:jc w:val="center"/>
              <w:rPr>
                <w:rFonts w:ascii="Times New Roman" w:hAnsi="Times New Roman" w:eastAsia="仿宋" w:cs="仿宋"/>
                <w:kern w:val="0"/>
                <w:sz w:val="24"/>
                <w:szCs w:val="24"/>
              </w:rPr>
            </w:pPr>
            <w:r>
              <w:rPr>
                <w:rFonts w:hint="eastAsia" w:ascii="Times New Roman" w:hAnsi="Times New Roman" w:eastAsia="宋体"/>
                <w:sz w:val="24"/>
              </w:rPr>
              <w:t>85</w:t>
            </w:r>
            <w:r>
              <w:rPr>
                <w:rFonts w:hint="eastAsia" w:ascii="Times New Roman" w:hAnsi="Times New Roman" w:eastAsia="仿宋" w:cs="仿宋"/>
                <w:kern w:val="0"/>
                <w:sz w:val="24"/>
                <w:szCs w:val="24"/>
              </w:rPr>
              <w:t>分钟</w:t>
            </w:r>
          </w:p>
        </w:tc>
        <w:tc>
          <w:tcPr>
            <w:tcW w:w="0" w:type="auto"/>
            <w:vAlign w:val="center"/>
          </w:tcPr>
          <w:p>
            <w:pPr>
              <w:spacing w:line="360" w:lineRule="auto"/>
              <w:contextualSpacing/>
              <w:jc w:val="center"/>
              <w:rPr>
                <w:rFonts w:ascii="Times New Roman" w:hAnsi="Times New Roman" w:eastAsia="仿宋" w:cs="仿宋"/>
                <w:kern w:val="0"/>
                <w:sz w:val="24"/>
                <w:szCs w:val="24"/>
              </w:rPr>
            </w:pPr>
            <w:r>
              <w:rPr>
                <w:rFonts w:hint="eastAsia" w:ascii="Times New Roman" w:hAnsi="Times New Roman" w:eastAsia="仿宋" w:cs="仿宋"/>
                <w:kern w:val="0"/>
                <w:sz w:val="24"/>
                <w:szCs w:val="24"/>
              </w:rPr>
              <w:t>100分</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Times New Roman"/>
          <w:kern w:val="0"/>
          <w:sz w:val="32"/>
          <w:szCs w:val="32"/>
        </w:rPr>
      </w:pPr>
      <w:r>
        <w:rPr>
          <w:rFonts w:ascii="Times New Roman" w:hAnsi="Times New Roman" w:eastAsia="黑体" w:cs="黑体"/>
          <w:bCs/>
          <w:kern w:val="0"/>
          <w:sz w:val="32"/>
          <w:szCs w:val="32"/>
        </w:rPr>
        <w:t>三、考试时间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kern w:val="0"/>
          <w:sz w:val="32"/>
          <w:szCs w:val="32"/>
        </w:rPr>
      </w:pPr>
      <w:r>
        <w:rPr>
          <w:rFonts w:ascii="Times New Roman" w:hAnsi="Times New Roman" w:eastAsia="仿宋" w:cs="仿宋"/>
          <w:kern w:val="0"/>
          <w:sz w:val="32"/>
          <w:szCs w:val="32"/>
        </w:rPr>
        <w:t>20</w:t>
      </w:r>
      <w:r>
        <w:rPr>
          <w:rFonts w:hint="eastAsia" w:ascii="Times New Roman" w:hAnsi="Times New Roman" w:eastAsia="仿宋" w:cs="仿宋"/>
          <w:kern w:val="0"/>
          <w:sz w:val="32"/>
          <w:szCs w:val="32"/>
        </w:rPr>
        <w:t>23</w:t>
      </w:r>
      <w:r>
        <w:rPr>
          <w:rFonts w:ascii="Times New Roman" w:hAnsi="Times New Roman" w:eastAsia="仿宋" w:cs="仿宋"/>
          <w:kern w:val="0"/>
          <w:sz w:val="32"/>
          <w:szCs w:val="32"/>
        </w:rPr>
        <w:t>年11月。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四</w:t>
      </w:r>
      <w:r>
        <w:rPr>
          <w:rFonts w:ascii="Times New Roman" w:hAnsi="Times New Roman" w:eastAsia="黑体" w:cs="黑体"/>
          <w:bCs/>
          <w:kern w:val="0"/>
          <w:sz w:val="32"/>
          <w:szCs w:val="32"/>
        </w:rPr>
        <w:t>、组织实施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（一）考点设置</w:t>
      </w:r>
    </w:p>
    <w:tbl>
      <w:tblPr>
        <w:tblStyle w:val="7"/>
        <w:tblW w:w="5000" w:type="pct"/>
        <w:tblInd w:w="0" w:type="dxa"/>
        <w:tblLayout w:type="autofit"/>
        <w:tblCellMar>
          <w:top w:w="0" w:type="dxa"/>
          <w:left w:w="0" w:type="dxa"/>
          <w:bottom w:w="0" w:type="dxa"/>
          <w:right w:w="0" w:type="dxa"/>
        </w:tblCellMar>
      </w:tblPr>
      <w:tblGrid>
        <w:gridCol w:w="1450"/>
        <w:gridCol w:w="1556"/>
        <w:gridCol w:w="5330"/>
      </w:tblGrid>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hint="eastAsia" w:ascii="仿宋_GB2312" w:hAnsi="仿宋_GB2312" w:eastAsia="仿宋_GB2312" w:cs="仿宋_GB2312"/>
                <w:b/>
                <w:color w:val="000000"/>
                <w:kern w:val="0"/>
                <w:sz w:val="24"/>
                <w:szCs w:val="24"/>
                <w:lang w:bidi="ar"/>
              </w:rPr>
            </w:pPr>
            <w:r>
              <w:rPr>
                <w:rFonts w:hint="eastAsia" w:ascii="仿宋_GB2312" w:hAnsi="仿宋_GB2312" w:eastAsia="仿宋_GB2312" w:cs="仿宋_GB2312"/>
                <w:b/>
                <w:sz w:val="24"/>
              </w:rPr>
              <w:t>序号</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sz w:val="24"/>
              </w:rPr>
              <w:t>城市</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sz w:val="24"/>
              </w:rPr>
              <w:t>考点学校</w:t>
            </w:r>
          </w:p>
        </w:tc>
      </w:tr>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opLinePunct/>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南京</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南京市玄武中等专业学校</w:t>
            </w:r>
          </w:p>
        </w:tc>
      </w:tr>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opLinePunct/>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无锡</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江苏省宜兴中等专业学校</w:t>
            </w:r>
          </w:p>
        </w:tc>
      </w:tr>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opLinePunct/>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徐州</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徐州市铜山中等专业学校</w:t>
            </w:r>
          </w:p>
        </w:tc>
      </w:tr>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opLinePunct/>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徐州</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邳州市车辐中等专业学校</w:t>
            </w:r>
          </w:p>
        </w:tc>
      </w:tr>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opLinePunct/>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5</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常州</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江苏省溧阳中等专业学校</w:t>
            </w:r>
          </w:p>
        </w:tc>
      </w:tr>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opLinePunct/>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6</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常州</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常州幼儿师范高等专科学校（常州幼儿师范学校）</w:t>
            </w:r>
          </w:p>
        </w:tc>
      </w:tr>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opLinePunct/>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7</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南通</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南通市中等专业学校</w:t>
            </w:r>
          </w:p>
        </w:tc>
      </w:tr>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opLinePunct/>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8</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南通</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江苏省如东中等专业学校</w:t>
            </w:r>
          </w:p>
        </w:tc>
      </w:tr>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opLinePunct/>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9</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连云港</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江苏省连云港中等专业学校</w:t>
            </w:r>
          </w:p>
        </w:tc>
      </w:tr>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opLinePunct/>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10</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连云港</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江苏省赣榆中等专业学校</w:t>
            </w:r>
          </w:p>
        </w:tc>
      </w:tr>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opLinePunct/>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11</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连云港</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江苏省东海中等专业学校</w:t>
            </w:r>
          </w:p>
        </w:tc>
      </w:tr>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opLinePunct/>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12</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连云港</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江苏省灌云中等专业学校</w:t>
            </w:r>
          </w:p>
        </w:tc>
      </w:tr>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opLinePunct/>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13</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淮安</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江苏省淮安中等专业学校</w:t>
            </w:r>
          </w:p>
        </w:tc>
      </w:tr>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opLinePunct/>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14</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盐城</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阜宁现代服务中等专业学校</w:t>
            </w:r>
          </w:p>
        </w:tc>
      </w:tr>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opLinePunct/>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15</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盐城</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盐城幼儿师范高等专科学校</w:t>
            </w:r>
          </w:p>
        </w:tc>
      </w:tr>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opLinePunct/>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16</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扬州</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江苏省扬州旅游商贸学校</w:t>
            </w:r>
          </w:p>
        </w:tc>
      </w:tr>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opLinePunct/>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17</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镇江</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镇江市高等专科学校</w:t>
            </w:r>
          </w:p>
        </w:tc>
      </w:tr>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opLinePunct/>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18</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泰州</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泰州机电高等职业技术学校</w:t>
            </w:r>
          </w:p>
        </w:tc>
      </w:tr>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opLinePunct/>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19</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泰州</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江苏省姜堰中等专业学校</w:t>
            </w:r>
          </w:p>
        </w:tc>
      </w:tr>
      <w:tr>
        <w:tblPrEx>
          <w:tblCellMar>
            <w:top w:w="0" w:type="dxa"/>
            <w:left w:w="0" w:type="dxa"/>
            <w:bottom w:w="0" w:type="dxa"/>
            <w:right w:w="0" w:type="dxa"/>
          </w:tblCellMar>
        </w:tblPrEx>
        <w:trPr>
          <w:trHeight w:val="567"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opLinePunct/>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宿迁</w:t>
            </w:r>
          </w:p>
        </w:tc>
        <w:tc>
          <w:tcPr>
            <w:tcW w:w="5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宿迁高等师范学校</w:t>
            </w:r>
          </w:p>
        </w:tc>
      </w:tr>
    </w:tbl>
    <w:p>
      <w:pPr>
        <w:ind w:left="283" w:leftChars="135" w:right="225" w:rightChars="107" w:firstLine="480" w:firstLineChars="200"/>
        <w:rPr>
          <w:rFonts w:ascii="仿宋" w:hAnsi="仿宋" w:eastAsia="仿宋" w:cs="仿宋"/>
          <w:sz w:val="24"/>
          <w:szCs w:val="28"/>
        </w:rPr>
      </w:pPr>
      <w:r>
        <w:rPr>
          <w:rFonts w:hint="eastAsia" w:ascii="仿宋" w:hAnsi="仿宋" w:eastAsia="仿宋" w:cs="仿宋"/>
          <w:sz w:val="24"/>
          <w:szCs w:val="28"/>
        </w:rPr>
        <w:t>注：尚未建标准化考点的学校，可依托校内实训室开展202</w:t>
      </w:r>
      <w:r>
        <w:rPr>
          <w:rFonts w:ascii="仿宋" w:hAnsi="仿宋" w:eastAsia="仿宋" w:cs="仿宋"/>
          <w:sz w:val="24"/>
          <w:szCs w:val="28"/>
        </w:rPr>
        <w:t>2</w:t>
      </w:r>
      <w:r>
        <w:rPr>
          <w:rFonts w:hint="eastAsia" w:ascii="仿宋" w:hAnsi="仿宋" w:eastAsia="仿宋" w:cs="仿宋"/>
          <w:sz w:val="24"/>
          <w:szCs w:val="28"/>
        </w:rPr>
        <w:t>年专业基本技能考试。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（二）考试组织</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Times New Roman" w:hAnsi="Times New Roman" w:eastAsia="仿宋_GB2312" w:cs="Times New Roman"/>
          <w:sz w:val="32"/>
          <w:szCs w:val="32"/>
        </w:rPr>
      </w:pPr>
      <w:r>
        <w:rPr>
          <w:rFonts w:hint="eastAsia" w:ascii="仿宋" w:hAnsi="仿宋" w:eastAsia="仿宋" w:cs="仿宋"/>
          <w:bCs/>
          <w:color w:val="000000"/>
          <w:kern w:val="0"/>
          <w:sz w:val="32"/>
          <w:szCs w:val="32"/>
        </w:rPr>
        <w:t>省教育考试院和省中职学考办公室负责考务组织管理与协调工作，各市教育行政部门、招考系统负责具体实施。专业委员会负责协调本专业类有关考点院校，协同各设区市教育行政部门、招考部门完成本专业类专业技能考试。考点学校应组建技术团队，加强考试平台维护，确保正常运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（三）考场安排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1.儿童歌曲弹奏考场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1间电钢琴教室，面积约为100-120平方米，设有32-34个工位（30个考试工位，2-4个备用工位）。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2.儿童主题画创作考场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3间标准教室，面积不小于50平方米/间，每间设有32-34个工位（30个考试工位，2-4个备用工位）。建议安排美术教室或书法教室。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（四）评分方式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儿童主题画创作、儿童歌曲弹奏现场实操考试结束后，由考评专家依据《江苏省中等职业学校学生学业水平考试幼儿发展与健康管理类专业基本技能考试标准》对考生美术作品、录制弹奏曲目进行集中阅卷评分。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五、考点设备配置要求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详见《江苏省中等职业学校学业水平考试幼儿发展与健康管理类专业技能考试考点建设标准（试行）》。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六、考试样题及评分标准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（一）儿童主题画创作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default" w:ascii="Times New Roman" w:hAnsi="Times New Roman" w:eastAsia="仿宋_GB2312" w:cs="Times New Roman"/>
          <w:kern w:val="0"/>
          <w:sz w:val="32"/>
          <w:szCs w:val="32"/>
        </w:rPr>
        <w:t>1.</w:t>
      </w:r>
      <w:r>
        <w:rPr>
          <w:rFonts w:hint="eastAsia" w:ascii="楷体_GB2312" w:hAnsi="楷体_GB2312" w:eastAsia="楷体_GB2312" w:cs="楷体_GB2312"/>
          <w:kern w:val="0"/>
          <w:sz w:val="32"/>
          <w:szCs w:val="32"/>
        </w:rPr>
        <w:t>考试样题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在规定时间内，以“夏天来了”为主题，在8开素描纸上，运用简笔画造型完成创作，运用油画棒、勾线笔等绘画工具进行着色。考试时间60分钟，总分50分。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2.</w:t>
      </w:r>
      <w:r>
        <w:rPr>
          <w:rFonts w:hint="eastAsia" w:ascii="楷体_GB2312" w:hAnsi="楷体_GB2312" w:eastAsia="楷体_GB2312" w:cs="楷体_GB2312"/>
          <w:kern w:val="0"/>
          <w:sz w:val="32"/>
          <w:szCs w:val="32"/>
        </w:rPr>
        <w:t>评分标准</w:t>
      </w:r>
    </w:p>
    <w:tbl>
      <w:tblPr>
        <w:tblStyle w:val="7"/>
        <w:tblW w:w="8437"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1369"/>
        <w:gridCol w:w="5395"/>
        <w:gridCol w:w="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序号</w:t>
            </w:r>
          </w:p>
        </w:tc>
        <w:tc>
          <w:tcPr>
            <w:tcW w:w="12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评分要点</w:t>
            </w:r>
          </w:p>
        </w:tc>
        <w:tc>
          <w:tcPr>
            <w:tcW w:w="502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评分依据</w:t>
            </w:r>
          </w:p>
        </w:tc>
        <w:tc>
          <w:tcPr>
            <w:tcW w:w="85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1</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造型</w:t>
            </w:r>
          </w:p>
        </w:tc>
        <w:tc>
          <w:tcPr>
            <w:tcW w:w="502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造型生动，比例准确，动态协调。</w:t>
            </w:r>
          </w:p>
        </w:tc>
        <w:tc>
          <w:tcPr>
            <w:tcW w:w="851" w:type="dxa"/>
            <w:tcBorders>
              <w:top w:val="single" w:color="auto" w:sz="4" w:space="0"/>
              <w:left w:val="single" w:color="auto" w:sz="4" w:space="0"/>
              <w:right w:val="single" w:color="auto" w:sz="4" w:space="0"/>
            </w:tcBorders>
            <w:shd w:val="clear" w:color="auto" w:fill="FFFFFF"/>
            <w:vAlign w:val="center"/>
          </w:tcPr>
          <w:p>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构图</w:t>
            </w:r>
          </w:p>
        </w:tc>
        <w:tc>
          <w:tcPr>
            <w:tcW w:w="502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构图准确，主体突出，画面丰富完整，主次关系合理。</w:t>
            </w:r>
          </w:p>
        </w:tc>
        <w:tc>
          <w:tcPr>
            <w:tcW w:w="85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w:t>
            </w:r>
          </w:p>
        </w:tc>
        <w:tc>
          <w:tcPr>
            <w:tcW w:w="127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色彩</w:t>
            </w:r>
          </w:p>
        </w:tc>
        <w:tc>
          <w:tcPr>
            <w:tcW w:w="5029" w:type="dxa"/>
            <w:tcBorders>
              <w:top w:val="single" w:color="auto" w:sz="4" w:space="0"/>
              <w:left w:val="single" w:color="auto" w:sz="4" w:space="0"/>
              <w:bottom w:val="single" w:color="auto" w:sz="4" w:space="0"/>
              <w:right w:val="single" w:color="auto" w:sz="4" w:space="0"/>
            </w:tcBorders>
            <w:vAlign w:val="center"/>
          </w:tcPr>
          <w:p>
            <w:pPr>
              <w:spacing w:line="360" w:lineRule="auto"/>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色彩搭配和谐，层次突出，涂色丰富，技巧娴熟。</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4</w:t>
            </w:r>
          </w:p>
        </w:tc>
        <w:tc>
          <w:tcPr>
            <w:tcW w:w="127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构思</w:t>
            </w:r>
          </w:p>
        </w:tc>
        <w:tc>
          <w:tcPr>
            <w:tcW w:w="5029"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spacing w:line="360" w:lineRule="auto"/>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构思巧妙，主题明确，创意新颖。</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整洁程度</w:t>
            </w:r>
          </w:p>
        </w:tc>
        <w:tc>
          <w:tcPr>
            <w:tcW w:w="5029" w:type="dxa"/>
            <w:tcBorders>
              <w:top w:val="single" w:color="auto" w:sz="4" w:space="0"/>
              <w:left w:val="single" w:color="auto" w:sz="4" w:space="0"/>
              <w:bottom w:val="single" w:color="auto" w:sz="4" w:space="0"/>
              <w:right w:val="single" w:color="auto" w:sz="4" w:space="0"/>
            </w:tcBorders>
            <w:vAlign w:val="center"/>
          </w:tcPr>
          <w:p>
            <w:pPr>
              <w:spacing w:line="360" w:lineRule="auto"/>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画面非常整洁。</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bCs/>
          <w:sz w:val="32"/>
          <w:szCs w:val="32"/>
        </w:rPr>
      </w:pPr>
      <w:r>
        <w:rPr>
          <w:rFonts w:hint="eastAsia" w:ascii="楷体_GB2312" w:hAnsi="楷体_GB2312" w:eastAsia="楷体_GB2312" w:cs="楷体_GB2312"/>
          <w:kern w:val="0"/>
          <w:sz w:val="32"/>
          <w:szCs w:val="32"/>
        </w:rPr>
        <w:t>（二）儿童歌曲弹奏</w:t>
      </w:r>
      <w:r>
        <w:rPr>
          <w:rFonts w:hint="eastAsia" w:ascii="仿宋" w:hAnsi="仿宋" w:eastAsia="仿宋" w:cs="仿宋"/>
          <w:bCs/>
          <w:sz w:val="32"/>
          <w:szCs w:val="32"/>
        </w:rPr>
        <w:t xml:space="preserve"> </w:t>
      </w:r>
    </w:p>
    <w:p>
      <w:pPr>
        <w:keepNext w:val="0"/>
        <w:keepLines w:val="0"/>
        <w:pageBreakBefore w:val="0"/>
        <w:widowControl w:val="0"/>
        <w:tabs>
          <w:tab w:val="left" w:pos="589"/>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1.</w:t>
      </w:r>
      <w:r>
        <w:rPr>
          <w:rFonts w:hint="eastAsia" w:ascii="楷体_GB2312" w:hAnsi="楷体_GB2312" w:eastAsia="楷体_GB2312" w:cs="楷体_GB2312"/>
          <w:kern w:val="0"/>
          <w:sz w:val="32"/>
          <w:szCs w:val="32"/>
        </w:rPr>
        <w:t>考试样题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在规定时间内，完成儿童歌曲《粉刷匠》（G调）弹奏，能用规范的弹奏方法展现歌曲中的音高、节奏等音乐表现手段，运用正三和弦和恰当的伴奏音型编配儿童歌曲，完整、流畅、双手协调地弹奏儿童歌曲。考试时间25分钟，总分50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_GB2312" w:cs="Times New Roman"/>
          <w:kern w:val="0"/>
          <w:sz w:val="32"/>
          <w:szCs w:val="32"/>
        </w:rPr>
        <w:t>2.</w:t>
      </w:r>
      <w:r>
        <w:rPr>
          <w:rFonts w:hint="eastAsia" w:ascii="楷体_GB2312" w:hAnsi="楷体_GB2312" w:eastAsia="楷体_GB2312" w:cs="楷体_GB2312"/>
          <w:kern w:val="0"/>
          <w:sz w:val="32"/>
          <w:szCs w:val="32"/>
        </w:rPr>
        <w:t>评分标准</w:t>
      </w:r>
    </w:p>
    <w:tbl>
      <w:tblPr>
        <w:tblStyle w:val="7"/>
        <w:tblW w:w="8437"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248"/>
        <w:gridCol w:w="5525"/>
        <w:gridCol w:w="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82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序号</w:t>
            </w:r>
          </w:p>
        </w:tc>
        <w:tc>
          <w:tcPr>
            <w:tcW w:w="126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评分要点</w:t>
            </w:r>
          </w:p>
        </w:tc>
        <w:tc>
          <w:tcPr>
            <w:tcW w:w="559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评分依据</w:t>
            </w:r>
          </w:p>
        </w:tc>
        <w:tc>
          <w:tcPr>
            <w:tcW w:w="85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829"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w:t>
            </w:r>
          </w:p>
        </w:tc>
        <w:tc>
          <w:tcPr>
            <w:tcW w:w="1261" w:type="dxa"/>
            <w:vMerge w:val="restart"/>
            <w:tcBorders>
              <w:top w:val="single" w:color="auto" w:sz="4" w:space="0"/>
              <w:left w:val="single" w:color="auto" w:sz="4" w:space="0"/>
              <w:right w:val="single" w:color="auto" w:sz="4" w:space="0"/>
            </w:tcBorders>
            <w:shd w:val="clear" w:color="auto" w:fill="auto"/>
            <w:vAlign w:val="center"/>
          </w:tcPr>
          <w:p>
            <w:pPr>
              <w:spacing w:line="36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弹奏技能</w:t>
            </w:r>
          </w:p>
        </w:tc>
        <w:tc>
          <w:tcPr>
            <w:tcW w:w="559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弹奏方法正确、姿势规范。</w:t>
            </w:r>
          </w:p>
        </w:tc>
        <w:tc>
          <w:tcPr>
            <w:tcW w:w="851" w:type="dxa"/>
            <w:tcBorders>
              <w:top w:val="single" w:color="auto" w:sz="4" w:space="0"/>
              <w:left w:val="single" w:color="auto" w:sz="4" w:space="0"/>
              <w:right w:val="single" w:color="auto" w:sz="4" w:space="0"/>
            </w:tcBorders>
            <w:shd w:val="clear" w:color="auto" w:fill="FFFFFF"/>
            <w:vAlign w:val="center"/>
          </w:tcPr>
          <w:p>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829" w:type="dxa"/>
            <w:vMerge w:val="continue"/>
            <w:tcBorders>
              <w:left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4"/>
              </w:rPr>
            </w:pPr>
          </w:p>
        </w:tc>
        <w:tc>
          <w:tcPr>
            <w:tcW w:w="1261" w:type="dxa"/>
            <w:vMerge w:val="continue"/>
            <w:tcBorders>
              <w:left w:val="single" w:color="auto" w:sz="4" w:space="0"/>
              <w:right w:val="single" w:color="auto" w:sz="4" w:space="0"/>
            </w:tcBorders>
            <w:shd w:val="clear" w:color="auto" w:fill="auto"/>
            <w:vAlign w:val="center"/>
          </w:tcPr>
          <w:p>
            <w:pPr>
              <w:spacing w:line="360" w:lineRule="auto"/>
              <w:jc w:val="center"/>
              <w:rPr>
                <w:rFonts w:hint="eastAsia" w:ascii="仿宋_GB2312" w:hAnsi="仿宋_GB2312" w:eastAsia="仿宋_GB2312" w:cs="仿宋_GB2312"/>
                <w:color w:val="000000"/>
                <w:sz w:val="24"/>
              </w:rPr>
            </w:pPr>
          </w:p>
        </w:tc>
        <w:tc>
          <w:tcPr>
            <w:tcW w:w="559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指法恰当。</w:t>
            </w:r>
          </w:p>
        </w:tc>
        <w:tc>
          <w:tcPr>
            <w:tcW w:w="851" w:type="dxa"/>
            <w:tcBorders>
              <w:left w:val="single" w:color="auto" w:sz="4" w:space="0"/>
              <w:right w:val="single" w:color="auto" w:sz="4" w:space="0"/>
            </w:tcBorders>
            <w:shd w:val="clear" w:color="auto" w:fill="FFFFFF"/>
            <w:vAlign w:val="center"/>
          </w:tcPr>
          <w:p>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829" w:type="dxa"/>
            <w:vMerge w:val="continue"/>
            <w:tcBorders>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4"/>
              </w:rPr>
            </w:pPr>
          </w:p>
        </w:tc>
        <w:tc>
          <w:tcPr>
            <w:tcW w:w="1261" w:type="dxa"/>
            <w:vMerge w:val="continue"/>
            <w:tcBorders>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color w:val="000000"/>
                <w:sz w:val="24"/>
              </w:rPr>
            </w:pPr>
          </w:p>
        </w:tc>
        <w:tc>
          <w:tcPr>
            <w:tcW w:w="559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音准节奏准确。</w:t>
            </w:r>
          </w:p>
        </w:tc>
        <w:tc>
          <w:tcPr>
            <w:tcW w:w="851" w:type="dxa"/>
            <w:tcBorders>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29" w:type="dxa"/>
            <w:vMerge w:val="restart"/>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w:t>
            </w:r>
          </w:p>
        </w:tc>
        <w:tc>
          <w:tcPr>
            <w:tcW w:w="1261" w:type="dxa"/>
            <w:vMerge w:val="restart"/>
            <w:tcBorders>
              <w:top w:val="single" w:color="auto" w:sz="4" w:space="0"/>
              <w:left w:val="single" w:color="auto" w:sz="4" w:space="0"/>
              <w:right w:val="single" w:color="auto" w:sz="4" w:space="0"/>
            </w:tcBorders>
            <w:vAlign w:val="center"/>
          </w:tcPr>
          <w:p>
            <w:pPr>
              <w:spacing w:line="36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编配效果</w:t>
            </w:r>
          </w:p>
        </w:tc>
        <w:tc>
          <w:tcPr>
            <w:tcW w:w="559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和声配置准确。</w:t>
            </w:r>
          </w:p>
        </w:tc>
        <w:tc>
          <w:tcPr>
            <w:tcW w:w="851" w:type="dxa"/>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29"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color w:val="000000"/>
                <w:sz w:val="24"/>
              </w:rPr>
            </w:pPr>
          </w:p>
        </w:tc>
        <w:tc>
          <w:tcPr>
            <w:tcW w:w="1261" w:type="dxa"/>
            <w:vMerge w:val="continue"/>
            <w:tcBorders>
              <w:left w:val="single" w:color="auto" w:sz="4" w:space="0"/>
              <w:right w:val="single" w:color="auto" w:sz="4" w:space="0"/>
            </w:tcBorders>
            <w:vAlign w:val="center"/>
          </w:tcPr>
          <w:p>
            <w:pPr>
              <w:spacing w:line="360" w:lineRule="auto"/>
              <w:jc w:val="center"/>
              <w:rPr>
                <w:rFonts w:hint="eastAsia" w:ascii="仿宋_GB2312" w:hAnsi="仿宋_GB2312" w:eastAsia="仿宋_GB2312" w:cs="仿宋_GB2312"/>
                <w:color w:val="000000"/>
                <w:sz w:val="24"/>
              </w:rPr>
            </w:pPr>
          </w:p>
        </w:tc>
        <w:tc>
          <w:tcPr>
            <w:tcW w:w="559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伴奏编配合理。</w:t>
            </w:r>
          </w:p>
        </w:tc>
        <w:tc>
          <w:tcPr>
            <w:tcW w:w="851" w:type="dxa"/>
            <w:tcBorders>
              <w:left w:val="single" w:color="auto" w:sz="4" w:space="0"/>
              <w:right w:val="single" w:color="auto" w:sz="4" w:space="0"/>
            </w:tcBorders>
            <w:vAlign w:val="center"/>
          </w:tcPr>
          <w:p>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29" w:type="dxa"/>
            <w:vMerge w:val="continue"/>
            <w:tcBorders>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4"/>
              </w:rPr>
            </w:pPr>
          </w:p>
        </w:tc>
        <w:tc>
          <w:tcPr>
            <w:tcW w:w="1261" w:type="dxa"/>
            <w:vMerge w:val="continue"/>
            <w:tcBorders>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color w:val="000000"/>
                <w:sz w:val="24"/>
              </w:rPr>
            </w:pPr>
          </w:p>
        </w:tc>
        <w:tc>
          <w:tcPr>
            <w:tcW w:w="559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弹奏流畅、清晰、完整，双手配合协调统一。</w:t>
            </w:r>
          </w:p>
        </w:tc>
        <w:tc>
          <w:tcPr>
            <w:tcW w:w="851" w:type="dxa"/>
            <w:tcBorders>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829" w:type="dxa"/>
            <w:vMerge w:val="restart"/>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w:t>
            </w:r>
          </w:p>
        </w:tc>
        <w:tc>
          <w:tcPr>
            <w:tcW w:w="1261" w:type="dxa"/>
            <w:vMerge w:val="restart"/>
            <w:tcBorders>
              <w:top w:val="single" w:color="auto" w:sz="4" w:space="0"/>
              <w:left w:val="single" w:color="auto" w:sz="4" w:space="0"/>
              <w:right w:val="single" w:color="auto" w:sz="4" w:space="0"/>
            </w:tcBorders>
            <w:vAlign w:val="center"/>
          </w:tcPr>
          <w:p>
            <w:pPr>
              <w:spacing w:line="36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弹奏表现</w:t>
            </w:r>
          </w:p>
        </w:tc>
        <w:tc>
          <w:tcPr>
            <w:tcW w:w="559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凸显儿童歌曲风格。</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829" w:type="dxa"/>
            <w:vMerge w:val="continue"/>
            <w:tcBorders>
              <w:left w:val="single" w:color="auto" w:sz="4" w:space="0"/>
              <w:bottom w:val="single" w:color="auto" w:sz="4" w:space="0"/>
              <w:right w:val="single" w:color="auto" w:sz="4" w:space="0"/>
            </w:tcBorders>
            <w:vAlign w:val="center"/>
          </w:tcPr>
          <w:p>
            <w:pPr>
              <w:spacing w:line="400" w:lineRule="exact"/>
              <w:jc w:val="left"/>
              <w:rPr>
                <w:rFonts w:hint="eastAsia" w:ascii="仿宋_GB2312" w:hAnsi="仿宋_GB2312" w:eastAsia="仿宋_GB2312" w:cs="仿宋_GB2312"/>
                <w:sz w:val="24"/>
              </w:rPr>
            </w:pPr>
          </w:p>
        </w:tc>
        <w:tc>
          <w:tcPr>
            <w:tcW w:w="1261" w:type="dxa"/>
            <w:vMerge w:val="continue"/>
            <w:tcBorders>
              <w:left w:val="single" w:color="auto" w:sz="4" w:space="0"/>
              <w:bottom w:val="single" w:color="auto" w:sz="4" w:space="0"/>
              <w:right w:val="single" w:color="auto" w:sz="4" w:space="0"/>
            </w:tcBorders>
            <w:vAlign w:val="center"/>
          </w:tcPr>
          <w:p>
            <w:pPr>
              <w:spacing w:line="360" w:lineRule="auto"/>
              <w:jc w:val="left"/>
              <w:rPr>
                <w:rFonts w:hint="eastAsia" w:ascii="仿宋_GB2312" w:hAnsi="仿宋_GB2312" w:eastAsia="仿宋_GB2312" w:cs="仿宋_GB2312"/>
                <w:color w:val="000000"/>
                <w:sz w:val="24"/>
              </w:rPr>
            </w:pPr>
          </w:p>
        </w:tc>
        <w:tc>
          <w:tcPr>
            <w:tcW w:w="559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情感丰富，表现力强，富有童趣。</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w:t>
            </w:r>
          </w:p>
        </w:tc>
      </w:tr>
    </w:tbl>
    <w:p>
      <w:pPr>
        <w:spacing w:line="360" w:lineRule="auto"/>
        <w:rPr>
          <w:b/>
          <w:bCs/>
          <w:sz w:val="32"/>
          <w:szCs w:val="32"/>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yYmQ2YjY2MTJlMGFkZjYyZGFmYzVlODA0NjkzNjUifQ=="/>
  </w:docVars>
  <w:rsids>
    <w:rsidRoot w:val="00240964"/>
    <w:rsid w:val="0000282E"/>
    <w:rsid w:val="0001418B"/>
    <w:rsid w:val="00017A86"/>
    <w:rsid w:val="0003186B"/>
    <w:rsid w:val="00031B75"/>
    <w:rsid w:val="00056DB1"/>
    <w:rsid w:val="00064E10"/>
    <w:rsid w:val="00067A89"/>
    <w:rsid w:val="0007659B"/>
    <w:rsid w:val="0008692D"/>
    <w:rsid w:val="000B5A40"/>
    <w:rsid w:val="000D13F9"/>
    <w:rsid w:val="000D224C"/>
    <w:rsid w:val="000D368E"/>
    <w:rsid w:val="000E72BB"/>
    <w:rsid w:val="000F254D"/>
    <w:rsid w:val="00103B6D"/>
    <w:rsid w:val="00104EBD"/>
    <w:rsid w:val="00105DBF"/>
    <w:rsid w:val="001179C9"/>
    <w:rsid w:val="00122EFF"/>
    <w:rsid w:val="00126BF8"/>
    <w:rsid w:val="001347B2"/>
    <w:rsid w:val="0013640D"/>
    <w:rsid w:val="00163979"/>
    <w:rsid w:val="00166BF2"/>
    <w:rsid w:val="00194F26"/>
    <w:rsid w:val="001A272C"/>
    <w:rsid w:val="001A33EF"/>
    <w:rsid w:val="001A7001"/>
    <w:rsid w:val="001C5BB3"/>
    <w:rsid w:val="001D090E"/>
    <w:rsid w:val="001D22E9"/>
    <w:rsid w:val="001E2130"/>
    <w:rsid w:val="001E47C0"/>
    <w:rsid w:val="00212768"/>
    <w:rsid w:val="00240964"/>
    <w:rsid w:val="00242CE3"/>
    <w:rsid w:val="00243653"/>
    <w:rsid w:val="00256907"/>
    <w:rsid w:val="002627CD"/>
    <w:rsid w:val="0027090A"/>
    <w:rsid w:val="002764CB"/>
    <w:rsid w:val="002C245D"/>
    <w:rsid w:val="002C459E"/>
    <w:rsid w:val="002D00F8"/>
    <w:rsid w:val="002D3525"/>
    <w:rsid w:val="002F0BA1"/>
    <w:rsid w:val="0030306A"/>
    <w:rsid w:val="00303269"/>
    <w:rsid w:val="003040B8"/>
    <w:rsid w:val="00310A08"/>
    <w:rsid w:val="0031111A"/>
    <w:rsid w:val="00326713"/>
    <w:rsid w:val="003403E8"/>
    <w:rsid w:val="00365EE8"/>
    <w:rsid w:val="003A2B97"/>
    <w:rsid w:val="003B422A"/>
    <w:rsid w:val="003B6C4D"/>
    <w:rsid w:val="003C0429"/>
    <w:rsid w:val="003C2487"/>
    <w:rsid w:val="003D39CB"/>
    <w:rsid w:val="003E1669"/>
    <w:rsid w:val="003E7669"/>
    <w:rsid w:val="003F6F75"/>
    <w:rsid w:val="00413B36"/>
    <w:rsid w:val="00415F7E"/>
    <w:rsid w:val="00422369"/>
    <w:rsid w:val="00425EE7"/>
    <w:rsid w:val="004471C4"/>
    <w:rsid w:val="00452AC2"/>
    <w:rsid w:val="004654C7"/>
    <w:rsid w:val="004722AA"/>
    <w:rsid w:val="004859ED"/>
    <w:rsid w:val="00487A9E"/>
    <w:rsid w:val="004B6786"/>
    <w:rsid w:val="004D2A16"/>
    <w:rsid w:val="004D46F6"/>
    <w:rsid w:val="004F1A9C"/>
    <w:rsid w:val="004F221D"/>
    <w:rsid w:val="004F3CF9"/>
    <w:rsid w:val="005048EE"/>
    <w:rsid w:val="0050517D"/>
    <w:rsid w:val="00512CD6"/>
    <w:rsid w:val="00537299"/>
    <w:rsid w:val="0054187D"/>
    <w:rsid w:val="00546386"/>
    <w:rsid w:val="0057185A"/>
    <w:rsid w:val="00583D38"/>
    <w:rsid w:val="005864E1"/>
    <w:rsid w:val="005A6171"/>
    <w:rsid w:val="005B1313"/>
    <w:rsid w:val="005E4EF9"/>
    <w:rsid w:val="005E5D74"/>
    <w:rsid w:val="005F2161"/>
    <w:rsid w:val="0060121F"/>
    <w:rsid w:val="0062619E"/>
    <w:rsid w:val="0063064F"/>
    <w:rsid w:val="006357CA"/>
    <w:rsid w:val="00641185"/>
    <w:rsid w:val="006437BB"/>
    <w:rsid w:val="006445AA"/>
    <w:rsid w:val="0065303C"/>
    <w:rsid w:val="00660AF6"/>
    <w:rsid w:val="00671363"/>
    <w:rsid w:val="0068382F"/>
    <w:rsid w:val="006853D9"/>
    <w:rsid w:val="006A09A9"/>
    <w:rsid w:val="006C2CE6"/>
    <w:rsid w:val="006E26DC"/>
    <w:rsid w:val="007117A2"/>
    <w:rsid w:val="007200C9"/>
    <w:rsid w:val="007217FB"/>
    <w:rsid w:val="00722473"/>
    <w:rsid w:val="007276C9"/>
    <w:rsid w:val="007339D6"/>
    <w:rsid w:val="00734742"/>
    <w:rsid w:val="0075576D"/>
    <w:rsid w:val="007A7E06"/>
    <w:rsid w:val="007C4315"/>
    <w:rsid w:val="007D5E47"/>
    <w:rsid w:val="007F4484"/>
    <w:rsid w:val="007F4E08"/>
    <w:rsid w:val="007F70A8"/>
    <w:rsid w:val="00822114"/>
    <w:rsid w:val="00836E54"/>
    <w:rsid w:val="00877447"/>
    <w:rsid w:val="008A1CC5"/>
    <w:rsid w:val="008B7BC5"/>
    <w:rsid w:val="008C46D1"/>
    <w:rsid w:val="008C5C81"/>
    <w:rsid w:val="008D52FD"/>
    <w:rsid w:val="008E7C6D"/>
    <w:rsid w:val="008F6380"/>
    <w:rsid w:val="009127FB"/>
    <w:rsid w:val="00934E9D"/>
    <w:rsid w:val="00935051"/>
    <w:rsid w:val="00936069"/>
    <w:rsid w:val="009444FB"/>
    <w:rsid w:val="00962EAF"/>
    <w:rsid w:val="00974B36"/>
    <w:rsid w:val="00981B35"/>
    <w:rsid w:val="00990681"/>
    <w:rsid w:val="00996C3D"/>
    <w:rsid w:val="009B1231"/>
    <w:rsid w:val="009B2CCA"/>
    <w:rsid w:val="009C1CCD"/>
    <w:rsid w:val="009C44E1"/>
    <w:rsid w:val="009D0C02"/>
    <w:rsid w:val="009D196C"/>
    <w:rsid w:val="009E27A9"/>
    <w:rsid w:val="009F1FFA"/>
    <w:rsid w:val="009F40F7"/>
    <w:rsid w:val="009F5148"/>
    <w:rsid w:val="00A042CD"/>
    <w:rsid w:val="00A10ED2"/>
    <w:rsid w:val="00A2458A"/>
    <w:rsid w:val="00A32CBF"/>
    <w:rsid w:val="00A651DB"/>
    <w:rsid w:val="00A760D1"/>
    <w:rsid w:val="00A8348E"/>
    <w:rsid w:val="00A87337"/>
    <w:rsid w:val="00AA79B2"/>
    <w:rsid w:val="00AD3447"/>
    <w:rsid w:val="00AE0BA9"/>
    <w:rsid w:val="00B0109B"/>
    <w:rsid w:val="00B152B5"/>
    <w:rsid w:val="00B743BD"/>
    <w:rsid w:val="00B763B0"/>
    <w:rsid w:val="00B835C6"/>
    <w:rsid w:val="00B849E7"/>
    <w:rsid w:val="00B85AA7"/>
    <w:rsid w:val="00B929AF"/>
    <w:rsid w:val="00BA0FB1"/>
    <w:rsid w:val="00BD17F1"/>
    <w:rsid w:val="00BD4C1C"/>
    <w:rsid w:val="00BE1E01"/>
    <w:rsid w:val="00BE1EBC"/>
    <w:rsid w:val="00C0672D"/>
    <w:rsid w:val="00C26750"/>
    <w:rsid w:val="00C305EB"/>
    <w:rsid w:val="00C6223D"/>
    <w:rsid w:val="00C82BB4"/>
    <w:rsid w:val="00CA7895"/>
    <w:rsid w:val="00CC4D02"/>
    <w:rsid w:val="00CE2144"/>
    <w:rsid w:val="00CE2681"/>
    <w:rsid w:val="00CF5A69"/>
    <w:rsid w:val="00CF65C2"/>
    <w:rsid w:val="00D03176"/>
    <w:rsid w:val="00D04EB7"/>
    <w:rsid w:val="00D05133"/>
    <w:rsid w:val="00D234D7"/>
    <w:rsid w:val="00D30C44"/>
    <w:rsid w:val="00D37BC7"/>
    <w:rsid w:val="00D61FE7"/>
    <w:rsid w:val="00D66359"/>
    <w:rsid w:val="00D71D18"/>
    <w:rsid w:val="00D7262C"/>
    <w:rsid w:val="00D96DFA"/>
    <w:rsid w:val="00DA1A71"/>
    <w:rsid w:val="00DA7F8D"/>
    <w:rsid w:val="00DD1161"/>
    <w:rsid w:val="00DE15E7"/>
    <w:rsid w:val="00DE28B4"/>
    <w:rsid w:val="00DE6C2C"/>
    <w:rsid w:val="00DF7F05"/>
    <w:rsid w:val="00E14E69"/>
    <w:rsid w:val="00E31B38"/>
    <w:rsid w:val="00E623D6"/>
    <w:rsid w:val="00E67C64"/>
    <w:rsid w:val="00E758E6"/>
    <w:rsid w:val="00E82B70"/>
    <w:rsid w:val="00E918C7"/>
    <w:rsid w:val="00EA2B84"/>
    <w:rsid w:val="00ED0394"/>
    <w:rsid w:val="00EF147D"/>
    <w:rsid w:val="00F07B39"/>
    <w:rsid w:val="00F1473B"/>
    <w:rsid w:val="00F225F7"/>
    <w:rsid w:val="00F34821"/>
    <w:rsid w:val="00F34B36"/>
    <w:rsid w:val="00F37BF2"/>
    <w:rsid w:val="00F56ACB"/>
    <w:rsid w:val="00F57ABC"/>
    <w:rsid w:val="00F61B1A"/>
    <w:rsid w:val="00F63C97"/>
    <w:rsid w:val="00F66500"/>
    <w:rsid w:val="00F73453"/>
    <w:rsid w:val="00F746E4"/>
    <w:rsid w:val="00F77DD4"/>
    <w:rsid w:val="00F941E6"/>
    <w:rsid w:val="00FA67B9"/>
    <w:rsid w:val="00FB52C7"/>
    <w:rsid w:val="00FC5EBF"/>
    <w:rsid w:val="00FD603F"/>
    <w:rsid w:val="00FE4BCB"/>
    <w:rsid w:val="03ED5F20"/>
    <w:rsid w:val="1C37055C"/>
    <w:rsid w:val="22172392"/>
    <w:rsid w:val="28BA5189"/>
    <w:rsid w:val="32CF3BF5"/>
    <w:rsid w:val="411A5840"/>
    <w:rsid w:val="4C783032"/>
    <w:rsid w:val="55EB659F"/>
    <w:rsid w:val="5A096502"/>
    <w:rsid w:val="5F760169"/>
    <w:rsid w:val="64023F6B"/>
    <w:rsid w:val="66DD40B7"/>
    <w:rsid w:val="7A423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line="360" w:lineRule="auto"/>
      <w:jc w:val="left"/>
    </w:pPr>
    <w:rPr>
      <w:rFonts w:cs="Times New Roman"/>
      <w:kern w:val="0"/>
      <w:sz w:val="24"/>
    </w:rPr>
  </w:style>
  <w:style w:type="table" w:styleId="8">
    <w:name w:val="Table Grid"/>
    <w:basedOn w:val="7"/>
    <w:qFormat/>
    <w:uiPriority w:val="5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paragraph" w:customStyle="1" w:styleId="11">
    <w:name w:val="页脚1"/>
    <w:basedOn w:val="1"/>
    <w:next w:val="4"/>
    <w:link w:val="12"/>
    <w:unhideWhenUsed/>
    <w:qFormat/>
    <w:uiPriority w:val="99"/>
    <w:pPr>
      <w:tabs>
        <w:tab w:val="center" w:pos="4153"/>
        <w:tab w:val="right" w:pos="8306"/>
      </w:tabs>
      <w:snapToGrid w:val="0"/>
      <w:jc w:val="left"/>
    </w:pPr>
    <w:rPr>
      <w:rFonts w:ascii="Calibri" w:hAnsi="Calibri" w:eastAsia="宋体" w:cs="Times New Roman"/>
      <w:sz w:val="18"/>
      <w:szCs w:val="18"/>
    </w:rPr>
  </w:style>
  <w:style w:type="character" w:customStyle="1" w:styleId="12">
    <w:name w:val="页脚 Char"/>
    <w:basedOn w:val="9"/>
    <w:link w:val="11"/>
    <w:qFormat/>
    <w:uiPriority w:val="99"/>
    <w:rPr>
      <w:rFonts w:ascii="Calibri" w:hAnsi="Calibri" w:eastAsia="宋体" w:cs="Times New Roman"/>
      <w:kern w:val="2"/>
      <w:sz w:val="18"/>
      <w:szCs w:val="18"/>
    </w:rPr>
  </w:style>
  <w:style w:type="character" w:customStyle="1" w:styleId="13">
    <w:name w:val="页脚 字符"/>
    <w:basedOn w:val="9"/>
    <w:link w:val="4"/>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页眉 字符"/>
    <w:basedOn w:val="9"/>
    <w:link w:val="5"/>
    <w:qFormat/>
    <w:uiPriority w:val="99"/>
    <w:rPr>
      <w:sz w:val="18"/>
      <w:szCs w:val="18"/>
    </w:rPr>
  </w:style>
  <w:style w:type="table" w:customStyle="1" w:styleId="16">
    <w:name w:val="网格型1"/>
    <w:basedOn w:val="7"/>
    <w:qFormat/>
    <w:uiPriority w:val="5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批注框文本 字符"/>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E21D56-204A-4EA3-8C64-157CBAD11E85}">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5</Pages>
  <Words>1429</Words>
  <Characters>1506</Characters>
  <Lines>12</Lines>
  <Paragraphs>3</Paragraphs>
  <TotalTime>6</TotalTime>
  <ScaleCrop>false</ScaleCrop>
  <LinksUpToDate>false</LinksUpToDate>
  <CharactersWithSpaces>1509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2020-07-31T01:57:00Z</dcterms:created>
  <dc:creator>dell</dc:creator>
  <cp:lastModifiedBy>hp</cp:lastModifiedBy>
  <cp:lastPrinted>2020-04-20T07:28:00Z</cp:lastPrinted>
  <dcterms:modified xsi:type="dcterms:W3CDTF">2023-09-10T06:51:20Z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B22CCC7D248C4B138CC00391D5AF44BF_13</vt:lpwstr>
  </property>
</Properties>
</file>