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5EBB" w:rsidRDefault="00B45EBB" w:rsidP="00B45EBB">
      <w:pPr>
        <w:spacing w:line="360" w:lineRule="auto"/>
        <w:rPr>
          <w:rFonts w:ascii="黑体" w:eastAsia="黑体" w:hAnsi="黑体" w:cs="黑体"/>
          <w:sz w:val="32"/>
          <w:szCs w:val="32"/>
          <w:lang w:val="zh-CN"/>
        </w:rPr>
      </w:pPr>
      <w:r>
        <w:rPr>
          <w:rFonts w:ascii="黑体" w:eastAsia="黑体" w:hAnsi="黑体" w:cs="黑体" w:hint="eastAsia"/>
          <w:sz w:val="32"/>
          <w:szCs w:val="32"/>
          <w:lang w:val="zh-CN"/>
        </w:rPr>
        <w:t>附件2-</w:t>
      </w:r>
      <w:r>
        <w:rPr>
          <w:rFonts w:ascii="黑体" w:eastAsia="黑体" w:hAnsi="黑体" w:cs="黑体" w:hint="eastAsia"/>
          <w:sz w:val="32"/>
          <w:szCs w:val="32"/>
        </w:rPr>
        <w:t>13</w:t>
      </w:r>
    </w:p>
    <w:p w:rsidR="00B45EBB" w:rsidRDefault="00B45EBB" w:rsidP="00B45EBB">
      <w:pPr>
        <w:spacing w:line="360" w:lineRule="auto"/>
        <w:rPr>
          <w:rFonts w:ascii="Times New Roman" w:eastAsia="黑体" w:hAnsi="Times New Roman"/>
          <w:sz w:val="32"/>
          <w:szCs w:val="32"/>
          <w:lang w:val="zh-CN"/>
        </w:rPr>
      </w:pPr>
    </w:p>
    <w:p w:rsidR="00B45EBB" w:rsidRPr="00BA05B0" w:rsidRDefault="00B45EBB" w:rsidP="00B45EBB">
      <w:pPr>
        <w:spacing w:line="560" w:lineRule="exact"/>
        <w:jc w:val="center"/>
        <w:rPr>
          <w:rFonts w:asciiTheme="majorEastAsia" w:eastAsiaTheme="majorEastAsia" w:hAnsiTheme="majorEastAsia" w:cs="方正小标宋简体"/>
          <w:b/>
          <w:sz w:val="40"/>
          <w:szCs w:val="40"/>
        </w:rPr>
      </w:pPr>
      <w:r w:rsidRPr="00BA05B0">
        <w:rPr>
          <w:rFonts w:asciiTheme="majorEastAsia" w:eastAsiaTheme="majorEastAsia" w:hAnsiTheme="majorEastAsia" w:cs="方正小标宋简体"/>
          <w:b/>
          <w:sz w:val="40"/>
          <w:szCs w:val="40"/>
        </w:rPr>
        <w:t>202</w:t>
      </w:r>
      <w:r w:rsidRPr="00BA05B0">
        <w:rPr>
          <w:rFonts w:asciiTheme="majorEastAsia" w:eastAsiaTheme="majorEastAsia" w:hAnsiTheme="majorEastAsia" w:cs="方正小标宋简体" w:hint="eastAsia"/>
          <w:b/>
          <w:sz w:val="40"/>
          <w:szCs w:val="40"/>
        </w:rPr>
        <w:t>2年江苏省中等职业学校学生学业水平考试</w:t>
      </w:r>
    </w:p>
    <w:p w:rsidR="00B45EBB" w:rsidRPr="00BA05B0" w:rsidRDefault="00B45EBB" w:rsidP="00B45EBB">
      <w:pPr>
        <w:spacing w:line="560" w:lineRule="exact"/>
        <w:jc w:val="center"/>
        <w:rPr>
          <w:rFonts w:asciiTheme="majorEastAsia" w:eastAsiaTheme="majorEastAsia" w:hAnsiTheme="majorEastAsia" w:cs="方正小标宋简体"/>
          <w:b/>
          <w:sz w:val="40"/>
          <w:szCs w:val="40"/>
        </w:rPr>
      </w:pPr>
      <w:r w:rsidRPr="00BA05B0">
        <w:rPr>
          <w:rFonts w:asciiTheme="majorEastAsia" w:eastAsiaTheme="majorEastAsia" w:hAnsiTheme="majorEastAsia" w:cs="方正小标宋简体" w:hint="eastAsia"/>
          <w:b/>
          <w:sz w:val="40"/>
          <w:szCs w:val="40"/>
        </w:rPr>
        <w:t>会计类专业基本技能考试指导性实施方案</w:t>
      </w:r>
    </w:p>
    <w:p w:rsidR="00B45EBB" w:rsidRDefault="00B45EBB" w:rsidP="00B45EBB">
      <w:pPr>
        <w:spacing w:line="560" w:lineRule="exact"/>
        <w:ind w:firstLineChars="200" w:firstLine="640"/>
        <w:rPr>
          <w:rFonts w:ascii="Times New Roman" w:eastAsia="黑体" w:hAnsi="Times New Roman"/>
          <w:kern w:val="0"/>
          <w:sz w:val="32"/>
          <w:szCs w:val="32"/>
        </w:rPr>
      </w:pPr>
    </w:p>
    <w:p w:rsidR="00B45EBB" w:rsidRDefault="00B45EBB" w:rsidP="00B45EBB">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一、考试对象</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面向全省中等职业学校（含技工院校）</w:t>
      </w:r>
      <w:r w:rsidRPr="00A94579">
        <w:rPr>
          <w:rFonts w:ascii="仿宋" w:eastAsia="仿宋" w:hAnsi="仿宋" w:cs="仿宋" w:hint="eastAsia"/>
          <w:kern w:val="0"/>
          <w:sz w:val="32"/>
          <w:szCs w:val="32"/>
        </w:rPr>
        <w:t>2023届</w:t>
      </w:r>
      <w:r>
        <w:rPr>
          <w:rFonts w:ascii="仿宋" w:eastAsia="仿宋" w:hAnsi="仿宋" w:cs="仿宋" w:hint="eastAsia"/>
          <w:kern w:val="0"/>
          <w:sz w:val="32"/>
          <w:szCs w:val="32"/>
        </w:rPr>
        <w:t>会计类</w:t>
      </w:r>
      <w:r>
        <w:rPr>
          <w:rFonts w:ascii="仿宋" w:eastAsia="仿宋" w:hAnsi="仿宋" w:cs="仿宋" w:hint="eastAsia"/>
          <w:sz w:val="32"/>
          <w:szCs w:val="32"/>
        </w:rPr>
        <w:t>会计</w:t>
      </w:r>
      <w:r>
        <w:rPr>
          <w:rFonts w:ascii="仿宋" w:eastAsia="仿宋" w:hAnsi="仿宋" w:cs="仿宋" w:hint="eastAsia"/>
          <w:kern w:val="0"/>
          <w:sz w:val="32"/>
          <w:szCs w:val="32"/>
        </w:rPr>
        <w:t>、会计电算化、统计事务、金融事务、农村经济综合管理等相关专业考生。</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现代职教体系“3+3”、“3+4”试点项目</w:t>
      </w:r>
      <w:r w:rsidRPr="00A94579">
        <w:rPr>
          <w:rFonts w:ascii="仿宋" w:eastAsia="仿宋" w:hAnsi="仿宋" w:cs="仿宋" w:hint="eastAsia"/>
          <w:kern w:val="0"/>
          <w:sz w:val="32"/>
          <w:szCs w:val="32"/>
        </w:rPr>
        <w:t>2023届</w:t>
      </w:r>
      <w:r>
        <w:rPr>
          <w:rFonts w:ascii="仿宋" w:eastAsia="仿宋" w:hAnsi="仿宋" w:cs="仿宋" w:hint="eastAsia"/>
          <w:kern w:val="0"/>
          <w:sz w:val="32"/>
          <w:szCs w:val="32"/>
        </w:rPr>
        <w:t>学生须参加考试。五年制高职学生是否参加考试，由各</w:t>
      </w:r>
      <w:r w:rsidR="0061697C">
        <w:rPr>
          <w:rFonts w:ascii="仿宋" w:eastAsia="仿宋" w:hAnsi="仿宋" w:cs="仿宋" w:hint="eastAsia"/>
          <w:kern w:val="0"/>
          <w:sz w:val="32"/>
          <w:szCs w:val="32"/>
        </w:rPr>
        <w:t>设区</w:t>
      </w:r>
      <w:r>
        <w:rPr>
          <w:rFonts w:ascii="仿宋" w:eastAsia="仿宋" w:hAnsi="仿宋" w:cs="仿宋" w:hint="eastAsia"/>
          <w:kern w:val="0"/>
          <w:sz w:val="32"/>
          <w:szCs w:val="32"/>
        </w:rPr>
        <w:t>市教育局统筹安排。</w:t>
      </w:r>
    </w:p>
    <w:p w:rsidR="00B45EBB" w:rsidRDefault="00B45EBB" w:rsidP="00B45EBB">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二、考试内容、方式、时长及配分</w:t>
      </w:r>
    </w:p>
    <w:tbl>
      <w:tblPr>
        <w:tblW w:w="44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729"/>
        <w:gridCol w:w="1627"/>
        <w:gridCol w:w="1623"/>
        <w:gridCol w:w="1628"/>
      </w:tblGrid>
      <w:tr w:rsidR="00B45EBB" w:rsidTr="00682FD0">
        <w:trPr>
          <w:trHeight w:val="567"/>
          <w:jc w:val="center"/>
        </w:trPr>
        <w:tc>
          <w:tcPr>
            <w:tcW w:w="1793" w:type="pct"/>
            <w:vAlign w:val="center"/>
          </w:tcPr>
          <w:p w:rsidR="00B45EBB" w:rsidRDefault="00B45EBB" w:rsidP="00682FD0">
            <w:pPr>
              <w:spacing w:line="560" w:lineRule="exact"/>
              <w:jc w:val="center"/>
              <w:rPr>
                <w:rFonts w:ascii="仿宋" w:eastAsia="仿宋" w:hAnsi="仿宋" w:cs="仿宋"/>
                <w:b/>
                <w:bCs/>
                <w:sz w:val="24"/>
              </w:rPr>
            </w:pPr>
            <w:r>
              <w:rPr>
                <w:rFonts w:ascii="仿宋" w:eastAsia="仿宋" w:hAnsi="仿宋" w:cs="仿宋" w:hint="eastAsia"/>
                <w:b/>
                <w:bCs/>
                <w:sz w:val="24"/>
              </w:rPr>
              <w:t>考试内容</w:t>
            </w:r>
          </w:p>
        </w:tc>
        <w:tc>
          <w:tcPr>
            <w:tcW w:w="1068" w:type="pct"/>
            <w:vAlign w:val="center"/>
          </w:tcPr>
          <w:p w:rsidR="00B45EBB" w:rsidRDefault="00B45EBB" w:rsidP="00682FD0">
            <w:pPr>
              <w:spacing w:line="560" w:lineRule="exact"/>
              <w:jc w:val="center"/>
              <w:rPr>
                <w:rFonts w:ascii="仿宋" w:eastAsia="仿宋" w:hAnsi="仿宋" w:cs="仿宋"/>
                <w:b/>
                <w:bCs/>
                <w:sz w:val="24"/>
              </w:rPr>
            </w:pPr>
            <w:r>
              <w:rPr>
                <w:rFonts w:ascii="仿宋" w:eastAsia="仿宋" w:hAnsi="仿宋" w:cs="仿宋" w:hint="eastAsia"/>
                <w:b/>
                <w:bCs/>
                <w:sz w:val="24"/>
              </w:rPr>
              <w:t>方式</w:t>
            </w:r>
          </w:p>
        </w:tc>
        <w:tc>
          <w:tcPr>
            <w:tcW w:w="1067" w:type="pct"/>
            <w:vAlign w:val="center"/>
          </w:tcPr>
          <w:p w:rsidR="00B45EBB" w:rsidRDefault="00B45EBB" w:rsidP="00682FD0">
            <w:pPr>
              <w:spacing w:line="560" w:lineRule="exact"/>
              <w:jc w:val="center"/>
              <w:rPr>
                <w:rFonts w:ascii="仿宋" w:eastAsia="仿宋" w:hAnsi="仿宋" w:cs="仿宋"/>
                <w:b/>
                <w:bCs/>
                <w:sz w:val="24"/>
              </w:rPr>
            </w:pPr>
            <w:r>
              <w:rPr>
                <w:rFonts w:ascii="仿宋" w:eastAsia="仿宋" w:hAnsi="仿宋" w:cs="仿宋" w:hint="eastAsia"/>
                <w:b/>
                <w:bCs/>
                <w:sz w:val="24"/>
              </w:rPr>
              <w:t>时长</w:t>
            </w:r>
          </w:p>
        </w:tc>
        <w:tc>
          <w:tcPr>
            <w:tcW w:w="1070" w:type="pct"/>
            <w:vAlign w:val="center"/>
          </w:tcPr>
          <w:p w:rsidR="00B45EBB" w:rsidRDefault="00B45EBB" w:rsidP="00682FD0">
            <w:pPr>
              <w:spacing w:line="560" w:lineRule="exact"/>
              <w:jc w:val="center"/>
              <w:rPr>
                <w:rFonts w:ascii="仿宋" w:eastAsia="仿宋" w:hAnsi="仿宋" w:cs="仿宋"/>
                <w:b/>
                <w:bCs/>
                <w:sz w:val="24"/>
              </w:rPr>
            </w:pPr>
            <w:r>
              <w:rPr>
                <w:rFonts w:ascii="仿宋" w:eastAsia="仿宋" w:hAnsi="仿宋" w:cs="仿宋" w:hint="eastAsia"/>
                <w:b/>
                <w:bCs/>
                <w:sz w:val="24"/>
              </w:rPr>
              <w:t>配分</w:t>
            </w:r>
          </w:p>
        </w:tc>
      </w:tr>
      <w:tr w:rsidR="00B45EBB" w:rsidTr="00682FD0">
        <w:trPr>
          <w:trHeight w:val="567"/>
          <w:jc w:val="center"/>
        </w:trPr>
        <w:tc>
          <w:tcPr>
            <w:tcW w:w="1793"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会计电算化</w:t>
            </w:r>
          </w:p>
        </w:tc>
        <w:tc>
          <w:tcPr>
            <w:tcW w:w="1068"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信息化</w:t>
            </w:r>
          </w:p>
        </w:tc>
        <w:tc>
          <w:tcPr>
            <w:tcW w:w="1067"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60分钟</w:t>
            </w:r>
          </w:p>
        </w:tc>
        <w:tc>
          <w:tcPr>
            <w:tcW w:w="1070"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50分</w:t>
            </w:r>
          </w:p>
        </w:tc>
      </w:tr>
      <w:tr w:rsidR="00B45EBB" w:rsidTr="00682FD0">
        <w:trPr>
          <w:trHeight w:val="567"/>
          <w:jc w:val="center"/>
        </w:trPr>
        <w:tc>
          <w:tcPr>
            <w:tcW w:w="1793"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基础会计实务</w:t>
            </w:r>
          </w:p>
        </w:tc>
        <w:tc>
          <w:tcPr>
            <w:tcW w:w="1068"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信息化</w:t>
            </w:r>
          </w:p>
        </w:tc>
        <w:tc>
          <w:tcPr>
            <w:tcW w:w="1067"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60分钟</w:t>
            </w:r>
          </w:p>
        </w:tc>
        <w:tc>
          <w:tcPr>
            <w:tcW w:w="1070"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50分</w:t>
            </w:r>
          </w:p>
        </w:tc>
      </w:tr>
      <w:tr w:rsidR="00B45EBB" w:rsidTr="00682FD0">
        <w:trPr>
          <w:trHeight w:val="567"/>
          <w:jc w:val="center"/>
        </w:trPr>
        <w:tc>
          <w:tcPr>
            <w:tcW w:w="2862" w:type="pct"/>
            <w:gridSpan w:val="2"/>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总计</w:t>
            </w:r>
          </w:p>
        </w:tc>
        <w:tc>
          <w:tcPr>
            <w:tcW w:w="1067"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120分钟</w:t>
            </w:r>
          </w:p>
        </w:tc>
        <w:tc>
          <w:tcPr>
            <w:tcW w:w="1070"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100分</w:t>
            </w:r>
          </w:p>
        </w:tc>
      </w:tr>
    </w:tbl>
    <w:p w:rsidR="00B45EBB" w:rsidRDefault="00B45EBB" w:rsidP="00B45EBB">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三、考试时间</w:t>
      </w:r>
    </w:p>
    <w:p w:rsidR="00B45EBB" w:rsidRDefault="00B45EBB" w:rsidP="00B45EBB">
      <w:pPr>
        <w:snapToGrid w:val="0"/>
        <w:spacing w:line="560" w:lineRule="exact"/>
        <w:ind w:firstLineChars="200" w:firstLine="640"/>
        <w:rPr>
          <w:rFonts w:ascii="仿宋" w:eastAsia="仿宋" w:hAnsi="仿宋" w:cs="仿宋"/>
          <w:kern w:val="0"/>
          <w:sz w:val="32"/>
          <w:szCs w:val="32"/>
        </w:rPr>
      </w:pPr>
      <w:r w:rsidRPr="00A94579">
        <w:rPr>
          <w:rFonts w:ascii="仿宋" w:eastAsia="仿宋" w:hAnsi="仿宋" w:cs="仿宋" w:hint="eastAsia"/>
          <w:kern w:val="0"/>
          <w:sz w:val="32"/>
          <w:szCs w:val="32"/>
        </w:rPr>
        <w:t>2022</w:t>
      </w:r>
      <w:r>
        <w:rPr>
          <w:rFonts w:ascii="仿宋" w:eastAsia="仿宋" w:hAnsi="仿宋" w:cs="仿宋" w:hint="eastAsia"/>
          <w:kern w:val="0"/>
          <w:sz w:val="32"/>
          <w:szCs w:val="32"/>
        </w:rPr>
        <w:t>年11月。</w:t>
      </w:r>
    </w:p>
    <w:p w:rsidR="00B45EBB" w:rsidRDefault="00B45EBB" w:rsidP="00B45EBB">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四、组织实施</w:t>
      </w:r>
    </w:p>
    <w:p w:rsidR="00FE6CBA" w:rsidRDefault="00B45EBB" w:rsidP="00FE6CBA">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（一）</w:t>
      </w:r>
      <w:r w:rsidRPr="00A94579">
        <w:rPr>
          <w:rFonts w:ascii="楷体" w:eastAsia="楷体" w:hAnsi="楷体" w:cs="楷体" w:hint="eastAsia"/>
          <w:kern w:val="0"/>
          <w:sz w:val="32"/>
          <w:szCs w:val="32"/>
        </w:rPr>
        <w:t>考点设置</w:t>
      </w:r>
    </w:p>
    <w:tbl>
      <w:tblPr>
        <w:tblW w:w="8946" w:type="dxa"/>
        <w:tblInd w:w="93" w:type="dxa"/>
        <w:tblLook w:val="04A0"/>
      </w:tblPr>
      <w:tblGrid>
        <w:gridCol w:w="1008"/>
        <w:gridCol w:w="1275"/>
        <w:gridCol w:w="5670"/>
        <w:gridCol w:w="993"/>
      </w:tblGrid>
      <w:tr w:rsidR="00FE6CBA" w:rsidRPr="00A94579" w:rsidTr="00ED1FA4">
        <w:trPr>
          <w:trHeight w:val="285"/>
        </w:trPr>
        <w:tc>
          <w:tcPr>
            <w:tcW w:w="10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序号</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b/>
                <w:bCs/>
                <w:color w:val="000000"/>
                <w:kern w:val="0"/>
                <w:sz w:val="22"/>
              </w:rPr>
            </w:pPr>
            <w:r w:rsidRPr="00A94579">
              <w:rPr>
                <w:rFonts w:ascii="仿宋" w:eastAsia="仿宋" w:hAnsi="仿宋" w:cs="宋体" w:hint="eastAsia"/>
                <w:b/>
                <w:bCs/>
                <w:color w:val="000000"/>
                <w:kern w:val="0"/>
                <w:sz w:val="22"/>
              </w:rPr>
              <w:t>所属市</w:t>
            </w:r>
          </w:p>
        </w:tc>
        <w:tc>
          <w:tcPr>
            <w:tcW w:w="5670" w:type="dxa"/>
            <w:tcBorders>
              <w:top w:val="single" w:sz="4" w:space="0" w:color="auto"/>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b/>
                <w:bCs/>
                <w:color w:val="000000"/>
                <w:kern w:val="0"/>
                <w:sz w:val="22"/>
              </w:rPr>
            </w:pPr>
            <w:r w:rsidRPr="00A94579">
              <w:rPr>
                <w:rFonts w:ascii="仿宋" w:eastAsia="仿宋" w:hAnsi="仿宋" w:cs="宋体" w:hint="eastAsia"/>
                <w:b/>
                <w:bCs/>
                <w:color w:val="000000"/>
                <w:kern w:val="0"/>
                <w:sz w:val="22"/>
              </w:rPr>
              <w:t>学校名称</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b/>
                <w:bCs/>
                <w:color w:val="000000"/>
                <w:kern w:val="0"/>
                <w:sz w:val="22"/>
              </w:rPr>
            </w:pPr>
            <w:r w:rsidRPr="00A94579">
              <w:rPr>
                <w:rFonts w:ascii="仿宋" w:eastAsia="仿宋" w:hAnsi="仿宋" w:cs="宋体" w:hint="eastAsia"/>
                <w:b/>
                <w:bCs/>
                <w:color w:val="000000"/>
                <w:kern w:val="0"/>
                <w:sz w:val="22"/>
              </w:rPr>
              <w:t>备注</w:t>
            </w: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南京市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江苏省溧水中等专业学校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南京市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江苏省南京工程高等职业学校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南京市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南京江宁中等专业学校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4</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南京市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南京交通中等专业学校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5</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南京市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南京六合中等专业学校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bookmarkStart w:id="0" w:name="_GoBack"/>
        <w:bookmarkEnd w:id="0"/>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lastRenderedPageBreak/>
              <w:t>6</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南京市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南京商业学校（南京市鼓楼中等专业学校）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南京市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南京浦口中等专业学校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南京市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南京新港中等专业学校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无锡市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江苏省惠山中等专业学校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10</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无锡市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江苏省无锡立信中等专业学校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11</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无锡市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江苏省锡山中等专业学校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12</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无锡市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江阴市南华中等专业学校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13</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无锡市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无锡金茂商业中等专业学校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14</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无锡市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宜兴高等职业技术学校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15</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江苏省丰县中等专业学校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16</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江苏省沛县中等专业学校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17</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江苏省睢宁中等专业学校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18</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江苏省铜山中等专业学校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19</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江苏省徐州财经高等职业技术学校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20</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江苏省徐州市张集中等专业学校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21</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徐州市中等专业学校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22</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徐州市亚东中等职业学校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23</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江苏省贾汪中等专业学校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24</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徐州经贸高等职业学校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25</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江苏省邳州中等专业学校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26</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徐州市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徐州中健科技职业技术学校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27</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常州市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常州刘国钧高等职业技术学校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28</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常州市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江苏省金坛中等专业学校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29</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常州市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江苏省溧阳中等专业学校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30</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常州市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常州旅游商贸高等职业技术学校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31</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常州市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常州市高级职业技术学校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32</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江苏省常熟中等专业学校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33</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常熟高新园中等专业学校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34</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常熟市滨江职业技术学校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35</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江苏省苏州丝绸中等专业学校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36</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江苏省太仓中等专业学校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37</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江苏省吴江中等专业学校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38</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苏州高等职业技术学校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39</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江苏省昆山第一中等专业学校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40</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昆山花桥国际商务城中等专业学校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41</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江苏省昆山第二中等专业学校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42</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江苏省相城中等专业学校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43</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 xml:space="preserve"> 苏州市纺织工业职工中等专业学校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44</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江苏省吴中中等专业学校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45</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苏州太湖旅游中等专业学校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46</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江苏省张家港中等专业学校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FF0000"/>
                <w:kern w:val="0"/>
                <w:sz w:val="22"/>
              </w:rPr>
            </w:pPr>
            <w:r w:rsidRPr="00A94579">
              <w:rPr>
                <w:rFonts w:ascii="仿宋" w:eastAsia="仿宋" w:hAnsi="仿宋" w:cs="宋体" w:hint="eastAsia"/>
                <w:kern w:val="0"/>
                <w:sz w:val="22"/>
              </w:rPr>
              <w:t>47</w:t>
            </w:r>
          </w:p>
        </w:tc>
        <w:tc>
          <w:tcPr>
            <w:tcW w:w="1275" w:type="dxa"/>
            <w:tcBorders>
              <w:top w:val="nil"/>
              <w:left w:val="nil"/>
              <w:bottom w:val="single" w:sz="4" w:space="0" w:color="auto"/>
              <w:right w:val="single" w:sz="4" w:space="0" w:color="auto"/>
            </w:tcBorders>
            <w:shd w:val="clear" w:color="000000" w:fill="FFFFFF"/>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000000" w:fill="FFFFFF"/>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张家港市第二职业高级中学</w:t>
            </w:r>
          </w:p>
        </w:tc>
        <w:tc>
          <w:tcPr>
            <w:tcW w:w="993"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48</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苏州市</w:t>
            </w:r>
          </w:p>
        </w:tc>
        <w:tc>
          <w:tcPr>
            <w:tcW w:w="5670" w:type="dxa"/>
            <w:tcBorders>
              <w:top w:val="nil"/>
              <w:left w:val="nil"/>
              <w:bottom w:val="single" w:sz="4" w:space="0" w:color="auto"/>
              <w:right w:val="single" w:sz="4" w:space="0" w:color="auto"/>
            </w:tcBorders>
            <w:shd w:val="clear" w:color="000000" w:fill="FFFFFF"/>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苏州旅游与财经高等职业技术学校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lastRenderedPageBreak/>
              <w:t>49</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江苏省南通中等专业学校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50</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江苏省如东中等专业学校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51</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启东市第二中等专业学校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52</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江苏省海门中等专业学校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53</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江苏省海安中等专业学校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54</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江苏省通州中等专业学校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55</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江苏省如皋中等专业学校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56</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江苏省如皋第一中等专业学校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kern w:val="0"/>
                <w:sz w:val="22"/>
              </w:rPr>
            </w:pPr>
            <w:r w:rsidRPr="00A94579">
              <w:rPr>
                <w:rFonts w:ascii="仿宋" w:eastAsia="仿宋" w:hAnsi="仿宋" w:cs="宋体" w:hint="eastAsia"/>
                <w:kern w:val="0"/>
                <w:sz w:val="22"/>
              </w:rPr>
              <w:t>57</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南通市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南通建筑职业技术学校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58</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连云港市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连云港中等专业学校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59</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连云港市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连云港生物工程中等专业学校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60</w:t>
            </w:r>
          </w:p>
        </w:tc>
        <w:tc>
          <w:tcPr>
            <w:tcW w:w="1275"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连云港市</w:t>
            </w:r>
          </w:p>
        </w:tc>
        <w:tc>
          <w:tcPr>
            <w:tcW w:w="5670" w:type="dxa"/>
            <w:tcBorders>
              <w:top w:val="nil"/>
              <w:left w:val="nil"/>
              <w:bottom w:val="single" w:sz="4" w:space="0" w:color="auto"/>
              <w:right w:val="single" w:sz="4" w:space="0" w:color="auto"/>
            </w:tcBorders>
            <w:shd w:val="clear" w:color="auto" w:fill="auto"/>
            <w:noWrap/>
            <w:vAlign w:val="center"/>
            <w:hideMark/>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连云港职业技术学院继续教育学院</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61</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连云港市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江苏省赣榆中等专业学校（含金山中等专业学校考生）</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62</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连云港市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江苏省东海中等专业学校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63</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连云港市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江苏省灌云中等专业学校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64</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连云港市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江苏省灌南中等专业学校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65</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淮安市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江苏省淮阴商业学校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66</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淮安市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江苏省淮阴中等专业学校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67</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淮安市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淮安生物工程高等职业学校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68</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淮安市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江苏省涟水中等专业学校（含淮安市炎黄技工学校考生）</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69</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淮安市</w:t>
            </w:r>
          </w:p>
        </w:tc>
        <w:tc>
          <w:tcPr>
            <w:tcW w:w="5670" w:type="dxa"/>
            <w:tcBorders>
              <w:top w:val="nil"/>
              <w:left w:val="nil"/>
              <w:bottom w:val="single" w:sz="4" w:space="0" w:color="auto"/>
              <w:right w:val="single" w:sz="4" w:space="0" w:color="auto"/>
            </w:tcBorders>
            <w:shd w:val="clear" w:color="auto" w:fill="auto"/>
            <w:noWrap/>
            <w:vAlign w:val="bottom"/>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江苏省金湖中等专业学校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70</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淮安市</w:t>
            </w:r>
          </w:p>
        </w:tc>
        <w:tc>
          <w:tcPr>
            <w:tcW w:w="5670" w:type="dxa"/>
            <w:tcBorders>
              <w:top w:val="nil"/>
              <w:left w:val="nil"/>
              <w:bottom w:val="single" w:sz="4" w:space="0" w:color="auto"/>
              <w:right w:val="single" w:sz="4" w:space="0" w:color="auto"/>
            </w:tcBorders>
            <w:shd w:val="clear" w:color="auto" w:fill="auto"/>
            <w:noWrap/>
            <w:vAlign w:val="bottom"/>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江苏省盱眙中等专业学校（含东方职业高级中学考生）</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71</w:t>
            </w:r>
          </w:p>
        </w:tc>
        <w:tc>
          <w:tcPr>
            <w:tcW w:w="1275"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淮安市</w:t>
            </w:r>
          </w:p>
        </w:tc>
        <w:tc>
          <w:tcPr>
            <w:tcW w:w="5670"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江苏省滨海中等专业学校</w:t>
            </w:r>
          </w:p>
        </w:tc>
        <w:tc>
          <w:tcPr>
            <w:tcW w:w="993"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72</w:t>
            </w:r>
          </w:p>
        </w:tc>
        <w:tc>
          <w:tcPr>
            <w:tcW w:w="1275"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江苏省大丰中等专业学校</w:t>
            </w:r>
          </w:p>
        </w:tc>
        <w:tc>
          <w:tcPr>
            <w:tcW w:w="993"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73</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江苏省东台中等专业学校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74</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江苏省阜宁中等专业学校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75</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江苏省建湖中等专业学校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76</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江苏省射阳中等专业学校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77</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盐城生物工程高等职业技术学校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78</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江苏省响水中等专业学校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79</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盐城机电高等职业技术学校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80</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江苏省盐城技师学院</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81</w:t>
            </w:r>
          </w:p>
        </w:tc>
        <w:tc>
          <w:tcPr>
            <w:tcW w:w="1275"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盐城市经贸高级职业学校</w:t>
            </w:r>
          </w:p>
        </w:tc>
        <w:tc>
          <w:tcPr>
            <w:tcW w:w="993" w:type="dxa"/>
            <w:tcBorders>
              <w:top w:val="nil"/>
              <w:left w:val="nil"/>
              <w:bottom w:val="single" w:sz="4" w:space="0" w:color="auto"/>
              <w:right w:val="single" w:sz="4" w:space="0" w:color="auto"/>
            </w:tcBorders>
            <w:shd w:val="clear" w:color="000000" w:fill="FFFFFF"/>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82</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盐城市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邗江中等专业学校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7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83</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扬州市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江苏省宝应中等专业学校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84</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扬州市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江苏省高邮中等专业学校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85</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扬州市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江苏省江都中等专业学校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70"/>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86</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扬州市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江苏省扬州旅游商贸学校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87</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扬州市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扬州高等职业技术学校（含弘扬中等专业学校考生）</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88</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扬州市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扬州生活科技学校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89</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扬州市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江苏省丹阳中等专业学校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90</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镇江市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江苏省句容中等专业学校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91</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镇江市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江苏省扬中中等专业学校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lastRenderedPageBreak/>
              <w:t>92</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镇江市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镇江技师学院（丹徒中专）</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93</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镇江市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江苏省泰兴中等专业学校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94</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泰州市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泰州机电高等职业技术学校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95</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泰州市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江苏省靖江中等专业学校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96</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泰州市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江苏省兴化中等专业学校</w:t>
            </w:r>
          </w:p>
        </w:tc>
        <w:tc>
          <w:tcPr>
            <w:tcW w:w="993" w:type="dxa"/>
            <w:tcBorders>
              <w:top w:val="nil"/>
              <w:left w:val="nil"/>
              <w:bottom w:val="nil"/>
              <w:right w:val="nil"/>
            </w:tcBorders>
            <w:shd w:val="clear" w:color="auto" w:fill="auto"/>
            <w:noWrap/>
            <w:vAlign w:val="bottom"/>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97</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泰州市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江苏省姜堰中等专业学校</w:t>
            </w:r>
          </w:p>
        </w:tc>
        <w:tc>
          <w:tcPr>
            <w:tcW w:w="993" w:type="dxa"/>
            <w:tcBorders>
              <w:top w:val="single" w:sz="4" w:space="0" w:color="auto"/>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98</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泰州市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江苏省宿城中等专业学校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99</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宿迁市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江苏省宿迁中等专业学校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100</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宿迁市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江苏省沭阳中等专业学校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101</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宿迁市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江苏省泗阳中等专业学校（含霞飞中等专业学校考生）</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102</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宿迁市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江苏省宿豫中等专业学校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103</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宿迁市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江苏省泗洪中等专业学校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r w:rsidR="00FE6CBA" w:rsidRPr="00A94579" w:rsidTr="00ED1FA4">
        <w:trPr>
          <w:trHeight w:val="285"/>
        </w:trPr>
        <w:tc>
          <w:tcPr>
            <w:tcW w:w="1008" w:type="dxa"/>
            <w:tcBorders>
              <w:top w:val="nil"/>
              <w:left w:val="single" w:sz="4" w:space="0" w:color="auto"/>
              <w:bottom w:val="single" w:sz="4" w:space="0" w:color="auto"/>
              <w:right w:val="single" w:sz="4" w:space="0" w:color="auto"/>
            </w:tcBorders>
            <w:shd w:val="clear" w:color="auto" w:fill="auto"/>
            <w:noWrap/>
            <w:vAlign w:val="bottom"/>
            <w:hideMark/>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104</w:t>
            </w:r>
          </w:p>
        </w:tc>
        <w:tc>
          <w:tcPr>
            <w:tcW w:w="1275"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r w:rsidRPr="00A94579">
              <w:rPr>
                <w:rFonts w:ascii="仿宋" w:eastAsia="仿宋" w:hAnsi="仿宋" w:cs="宋体" w:hint="eastAsia"/>
                <w:color w:val="000000"/>
                <w:kern w:val="0"/>
                <w:sz w:val="22"/>
              </w:rPr>
              <w:t>宿迁市</w:t>
            </w:r>
          </w:p>
        </w:tc>
        <w:tc>
          <w:tcPr>
            <w:tcW w:w="5670"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left"/>
              <w:rPr>
                <w:rFonts w:ascii="仿宋" w:eastAsia="仿宋" w:hAnsi="仿宋" w:cs="宋体"/>
                <w:color w:val="000000"/>
                <w:kern w:val="0"/>
                <w:sz w:val="22"/>
              </w:rPr>
            </w:pPr>
            <w:r w:rsidRPr="00A94579">
              <w:rPr>
                <w:rFonts w:ascii="仿宋" w:eastAsia="仿宋" w:hAnsi="仿宋" w:cs="宋体" w:hint="eastAsia"/>
                <w:color w:val="000000"/>
                <w:kern w:val="0"/>
                <w:sz w:val="22"/>
              </w:rPr>
              <w:t>宿迁泽达中等专业学校</w:t>
            </w:r>
          </w:p>
        </w:tc>
        <w:tc>
          <w:tcPr>
            <w:tcW w:w="993" w:type="dxa"/>
            <w:tcBorders>
              <w:top w:val="nil"/>
              <w:left w:val="nil"/>
              <w:bottom w:val="single" w:sz="4" w:space="0" w:color="auto"/>
              <w:right w:val="single" w:sz="4" w:space="0" w:color="auto"/>
            </w:tcBorders>
            <w:shd w:val="clear" w:color="auto" w:fill="auto"/>
            <w:noWrap/>
            <w:vAlign w:val="center"/>
          </w:tcPr>
          <w:p w:rsidR="00FE6CBA" w:rsidRPr="00A94579" w:rsidRDefault="00FE6CBA" w:rsidP="00ED1FA4">
            <w:pPr>
              <w:widowControl/>
              <w:jc w:val="center"/>
              <w:rPr>
                <w:rFonts w:ascii="仿宋" w:eastAsia="仿宋" w:hAnsi="仿宋" w:cs="宋体"/>
                <w:color w:val="000000"/>
                <w:kern w:val="0"/>
                <w:sz w:val="22"/>
              </w:rPr>
            </w:pPr>
          </w:p>
        </w:tc>
      </w:tr>
    </w:tbl>
    <w:p w:rsidR="00B45EBB" w:rsidRDefault="00B45EBB" w:rsidP="00A94579">
      <w:pPr>
        <w:snapToGrid w:val="0"/>
        <w:spacing w:line="560" w:lineRule="exact"/>
        <w:ind w:firstLineChars="200" w:firstLine="560"/>
        <w:rPr>
          <w:rFonts w:ascii="仿宋" w:eastAsia="仿宋" w:hAnsi="仿宋" w:cs="仿宋"/>
          <w:kern w:val="0"/>
          <w:sz w:val="28"/>
          <w:szCs w:val="28"/>
        </w:rPr>
      </w:pPr>
      <w:r w:rsidRPr="00A94579">
        <w:rPr>
          <w:rFonts w:ascii="仿宋" w:eastAsia="仿宋" w:hAnsi="仿宋" w:cs="仿宋" w:hint="eastAsia"/>
          <w:kern w:val="0"/>
          <w:sz w:val="28"/>
          <w:szCs w:val="28"/>
        </w:rPr>
        <w:t>注：</w:t>
      </w:r>
      <w:r w:rsidR="00FE6CBA" w:rsidRPr="00A94579">
        <w:rPr>
          <w:rFonts w:ascii="仿宋" w:eastAsia="仿宋" w:hAnsi="仿宋" w:cs="仿宋" w:hint="eastAsia"/>
          <w:kern w:val="0"/>
          <w:sz w:val="28"/>
          <w:szCs w:val="28"/>
        </w:rPr>
        <w:t>各市教育局可根据本市实际情况</w:t>
      </w:r>
      <w:r w:rsidRPr="00A94579">
        <w:rPr>
          <w:rFonts w:ascii="仿宋" w:eastAsia="仿宋" w:hAnsi="仿宋" w:cs="仿宋" w:hint="eastAsia"/>
          <w:kern w:val="0"/>
          <w:sz w:val="28"/>
          <w:szCs w:val="28"/>
        </w:rPr>
        <w:t>，</w:t>
      </w:r>
      <w:r w:rsidR="00FE6CBA" w:rsidRPr="00A94579">
        <w:rPr>
          <w:rFonts w:ascii="仿宋" w:eastAsia="仿宋" w:hAnsi="仿宋" w:cs="仿宋" w:hint="eastAsia"/>
          <w:kern w:val="0"/>
          <w:sz w:val="28"/>
          <w:szCs w:val="28"/>
        </w:rPr>
        <w:t>增减或合并2022中职会计技能考点学校。</w:t>
      </w:r>
    </w:p>
    <w:p w:rsidR="00B45EBB" w:rsidRDefault="00B45EBB" w:rsidP="00B45EBB">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（二）考试组织</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省教育考试院和省中职学考办公室负责考务组织管理与协调工作，各</w:t>
      </w:r>
      <w:r w:rsidR="0061697C">
        <w:rPr>
          <w:rFonts w:ascii="仿宋" w:eastAsia="仿宋" w:hAnsi="仿宋" w:cs="仿宋" w:hint="eastAsia"/>
          <w:kern w:val="0"/>
          <w:sz w:val="32"/>
          <w:szCs w:val="32"/>
        </w:rPr>
        <w:t>设区</w:t>
      </w:r>
      <w:r>
        <w:rPr>
          <w:rFonts w:ascii="仿宋" w:eastAsia="仿宋" w:hAnsi="仿宋" w:cs="仿宋" w:hint="eastAsia"/>
          <w:kern w:val="0"/>
          <w:sz w:val="32"/>
          <w:szCs w:val="32"/>
        </w:rPr>
        <w:t>市教育</w:t>
      </w:r>
      <w:r w:rsidR="0061697C">
        <w:rPr>
          <w:rFonts w:ascii="仿宋" w:eastAsia="仿宋" w:hAnsi="仿宋" w:cs="仿宋" w:hint="eastAsia"/>
          <w:kern w:val="0"/>
          <w:sz w:val="32"/>
          <w:szCs w:val="32"/>
        </w:rPr>
        <w:t>局</w:t>
      </w:r>
      <w:r>
        <w:rPr>
          <w:rFonts w:ascii="仿宋" w:eastAsia="仿宋" w:hAnsi="仿宋" w:cs="仿宋" w:hint="eastAsia"/>
          <w:kern w:val="0"/>
          <w:sz w:val="32"/>
          <w:szCs w:val="32"/>
        </w:rPr>
        <w:t>负责具体实施。专业委员会负责协调本专业类有关考点院校，协同各设区市教育</w:t>
      </w:r>
      <w:r w:rsidR="0061697C">
        <w:rPr>
          <w:rFonts w:ascii="仿宋" w:eastAsia="仿宋" w:hAnsi="仿宋" w:cs="仿宋" w:hint="eastAsia"/>
          <w:kern w:val="0"/>
          <w:sz w:val="32"/>
          <w:szCs w:val="32"/>
        </w:rPr>
        <w:t>局</w:t>
      </w:r>
      <w:r>
        <w:rPr>
          <w:rFonts w:ascii="仿宋" w:eastAsia="仿宋" w:hAnsi="仿宋" w:cs="仿宋" w:hint="eastAsia"/>
          <w:kern w:val="0"/>
          <w:sz w:val="32"/>
          <w:szCs w:val="32"/>
        </w:rPr>
        <w:t>完成本专业类专业技能考试。考点学校应组建技术团队，加强考试平台维护，确保正常运行。</w:t>
      </w:r>
    </w:p>
    <w:p w:rsidR="00B45EBB" w:rsidRDefault="00FE6CBA" w:rsidP="00B45EBB">
      <w:pPr>
        <w:snapToGrid w:val="0"/>
        <w:spacing w:line="560" w:lineRule="exact"/>
        <w:ind w:firstLineChars="200" w:firstLine="640"/>
        <w:rPr>
          <w:rFonts w:ascii="楷体" w:eastAsia="楷体" w:hAnsi="楷体" w:cs="楷体"/>
          <w:kern w:val="0"/>
          <w:sz w:val="32"/>
          <w:szCs w:val="32"/>
        </w:rPr>
      </w:pPr>
      <w:r w:rsidRPr="00A94579">
        <w:rPr>
          <w:rFonts w:ascii="楷体" w:eastAsia="楷体" w:hAnsi="楷体" w:cs="楷体" w:hint="eastAsia"/>
          <w:kern w:val="0"/>
          <w:sz w:val="32"/>
          <w:szCs w:val="32"/>
        </w:rPr>
        <w:t>（三）考场安排</w:t>
      </w:r>
    </w:p>
    <w:p w:rsidR="00682FD0" w:rsidRDefault="00682FD0" w:rsidP="00B45EBB">
      <w:pPr>
        <w:snapToGrid w:val="0"/>
        <w:spacing w:line="560" w:lineRule="exact"/>
        <w:ind w:firstLineChars="200" w:firstLine="640"/>
        <w:rPr>
          <w:rFonts w:ascii="仿宋" w:eastAsia="仿宋" w:hAnsi="仿宋" w:cs="仿宋"/>
          <w:kern w:val="0"/>
          <w:sz w:val="32"/>
          <w:szCs w:val="32"/>
        </w:rPr>
      </w:pPr>
      <w:r w:rsidRPr="00A94579">
        <w:rPr>
          <w:rFonts w:ascii="仿宋" w:eastAsia="仿宋" w:hAnsi="仿宋" w:cs="仿宋" w:hint="eastAsia"/>
          <w:kern w:val="0"/>
          <w:sz w:val="32"/>
          <w:szCs w:val="32"/>
        </w:rPr>
        <w:t>由各市教育局会同考点学校安排考试场次，每个考点学校可安排1天时间，分上午、下午两个批次完成技能考试工作。考点学校原则上每个考场的人数限制在45人以内（并设有3-5台备用考试机器），同一批次技能考试可设置2至10个考场。</w:t>
      </w:r>
    </w:p>
    <w:p w:rsidR="00B45EBB" w:rsidRDefault="00B45EBB" w:rsidP="00B45EBB">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（四）评分方式</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“会计电算化”和“基础会计实务”两个项目均通过信息化综合实训平台进行考试，系统自动评分。考试期间，由</w:t>
      </w:r>
      <w:r>
        <w:rPr>
          <w:rFonts w:ascii="仿宋" w:eastAsia="仿宋" w:hAnsi="仿宋" w:cs="仿宋" w:hint="eastAsia"/>
          <w:kern w:val="0"/>
          <w:sz w:val="32"/>
          <w:szCs w:val="32"/>
        </w:rPr>
        <w:lastRenderedPageBreak/>
        <w:t>考点安排1名机房人员、1名网络维护人员，每个考场安排2名监考老师；每个考点由学考办安排1名巡考人员。</w:t>
      </w:r>
    </w:p>
    <w:p w:rsidR="00B45EBB" w:rsidRDefault="00B45EBB" w:rsidP="00B45EBB">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五、考试考点环境、设备配置要求</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详见《江苏省中等职业学校学生学业水平考试会计类技能考试考点建设标准（试行）修订稿》。</w:t>
      </w:r>
    </w:p>
    <w:p w:rsidR="00B45EBB" w:rsidRDefault="00B45EBB" w:rsidP="00B45EBB">
      <w:pPr>
        <w:spacing w:line="56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六、考试样题及评分标准</w:t>
      </w:r>
    </w:p>
    <w:p w:rsidR="00B45EBB" w:rsidRDefault="00B45EBB" w:rsidP="00B45EBB">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（一）会计电算化</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1.考试样题</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在规定时间内完成账套的设置、系统初始化，完成固定资产模块、工资模块、总账模块、报表管理模块的操作任务。时间60分钟，总分50分。</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2.评分标准</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6"/>
        <w:gridCol w:w="1215"/>
        <w:gridCol w:w="5623"/>
        <w:gridCol w:w="915"/>
      </w:tblGrid>
      <w:tr w:rsidR="00B45EBB" w:rsidTr="00682FD0">
        <w:trPr>
          <w:trHeight w:val="433"/>
          <w:tblHeader/>
          <w:jc w:val="center"/>
        </w:trPr>
        <w:tc>
          <w:tcPr>
            <w:tcW w:w="450" w:type="pct"/>
            <w:vAlign w:val="center"/>
          </w:tcPr>
          <w:p w:rsidR="00B45EBB" w:rsidRDefault="00B45EBB" w:rsidP="00682FD0">
            <w:pPr>
              <w:snapToGrid w:val="0"/>
              <w:spacing w:line="560" w:lineRule="exact"/>
              <w:ind w:leftChars="-41" w:left="-86" w:rightChars="-64" w:right="-134"/>
              <w:jc w:val="center"/>
              <w:rPr>
                <w:rFonts w:ascii="仿宋" w:eastAsia="仿宋" w:hAnsi="仿宋" w:cs="仿宋"/>
                <w:b/>
                <w:bCs/>
                <w:sz w:val="24"/>
              </w:rPr>
            </w:pPr>
            <w:r>
              <w:rPr>
                <w:rFonts w:ascii="仿宋" w:eastAsia="仿宋" w:hAnsi="仿宋" w:cs="仿宋" w:hint="eastAsia"/>
                <w:b/>
                <w:bCs/>
                <w:sz w:val="24"/>
              </w:rPr>
              <w:t>序号</w:t>
            </w:r>
          </w:p>
        </w:tc>
        <w:tc>
          <w:tcPr>
            <w:tcW w:w="713" w:type="pct"/>
            <w:vAlign w:val="center"/>
          </w:tcPr>
          <w:p w:rsidR="00B45EBB" w:rsidRDefault="00B45EBB" w:rsidP="00682FD0">
            <w:pPr>
              <w:snapToGrid w:val="0"/>
              <w:spacing w:line="560" w:lineRule="exact"/>
              <w:jc w:val="center"/>
              <w:rPr>
                <w:rFonts w:ascii="仿宋" w:eastAsia="仿宋" w:hAnsi="仿宋" w:cs="仿宋"/>
                <w:b/>
                <w:bCs/>
                <w:sz w:val="24"/>
              </w:rPr>
            </w:pPr>
            <w:r>
              <w:rPr>
                <w:rFonts w:ascii="仿宋" w:eastAsia="仿宋" w:hAnsi="仿宋" w:cs="仿宋" w:hint="eastAsia"/>
                <w:b/>
                <w:bCs/>
                <w:sz w:val="24"/>
              </w:rPr>
              <w:t>评分要点</w:t>
            </w:r>
          </w:p>
        </w:tc>
        <w:tc>
          <w:tcPr>
            <w:tcW w:w="3299" w:type="pct"/>
            <w:vAlign w:val="center"/>
          </w:tcPr>
          <w:p w:rsidR="00B45EBB" w:rsidRDefault="00B45EBB" w:rsidP="00682FD0">
            <w:pPr>
              <w:snapToGrid w:val="0"/>
              <w:spacing w:line="560" w:lineRule="exact"/>
              <w:jc w:val="center"/>
              <w:rPr>
                <w:rFonts w:ascii="仿宋" w:eastAsia="仿宋" w:hAnsi="仿宋" w:cs="仿宋"/>
                <w:b/>
                <w:bCs/>
                <w:sz w:val="24"/>
              </w:rPr>
            </w:pPr>
            <w:r>
              <w:rPr>
                <w:rFonts w:ascii="仿宋" w:eastAsia="仿宋" w:hAnsi="仿宋" w:cs="仿宋" w:hint="eastAsia"/>
                <w:b/>
                <w:bCs/>
                <w:sz w:val="24"/>
              </w:rPr>
              <w:t>评分依据</w:t>
            </w:r>
          </w:p>
        </w:tc>
        <w:tc>
          <w:tcPr>
            <w:tcW w:w="537" w:type="pct"/>
            <w:vAlign w:val="center"/>
          </w:tcPr>
          <w:p w:rsidR="00B45EBB" w:rsidRDefault="00B45EBB" w:rsidP="00682FD0">
            <w:pPr>
              <w:snapToGrid w:val="0"/>
              <w:spacing w:line="560" w:lineRule="exact"/>
              <w:jc w:val="center"/>
              <w:rPr>
                <w:rFonts w:ascii="仿宋" w:eastAsia="仿宋" w:hAnsi="仿宋" w:cs="仿宋"/>
                <w:b/>
                <w:bCs/>
                <w:sz w:val="24"/>
              </w:rPr>
            </w:pPr>
            <w:r>
              <w:rPr>
                <w:rFonts w:ascii="仿宋" w:eastAsia="仿宋" w:hAnsi="仿宋" w:cs="仿宋" w:hint="eastAsia"/>
                <w:b/>
                <w:bCs/>
                <w:sz w:val="24"/>
              </w:rPr>
              <w:t>分值</w:t>
            </w:r>
          </w:p>
        </w:tc>
      </w:tr>
      <w:tr w:rsidR="00B45EBB" w:rsidTr="00682FD0">
        <w:trPr>
          <w:trHeight w:val="433"/>
          <w:jc w:val="center"/>
        </w:trPr>
        <w:tc>
          <w:tcPr>
            <w:tcW w:w="450" w:type="pct"/>
            <w:vMerge w:val="restar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c>
          <w:tcPr>
            <w:tcW w:w="713" w:type="pct"/>
            <w:vMerge w:val="restart"/>
            <w:vAlign w:val="center"/>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账套</w:t>
            </w: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备份和恢复账套数据。</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增加、减少操作员及设置权限。</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1.5</w:t>
            </w:r>
          </w:p>
        </w:tc>
      </w:tr>
      <w:tr w:rsidR="00B45EBB" w:rsidTr="00682FD0">
        <w:trPr>
          <w:trHeight w:val="433"/>
          <w:jc w:val="center"/>
        </w:trPr>
        <w:tc>
          <w:tcPr>
            <w:tcW w:w="450" w:type="pct"/>
            <w:vMerge w:val="restar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2</w:t>
            </w:r>
          </w:p>
        </w:tc>
        <w:tc>
          <w:tcPr>
            <w:tcW w:w="713" w:type="pct"/>
            <w:vMerge w:val="restart"/>
            <w:vAlign w:val="center"/>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系统初始化</w:t>
            </w: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设置编码方案。</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858"/>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设置系统公用基础信息，包括部门档案、职员信息、客户信息、供应商信息和项目信息。</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5</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设置收付结算方式，包括结算方式编码和名称。</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设置凭证类别。</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128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设置会计科目，包括指定科目、增加、修改、删除科目、确定科目属性；设置往来科目为受控科目，且选择受控为空。</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2</w:t>
            </w:r>
          </w:p>
        </w:tc>
      </w:tr>
      <w:tr w:rsidR="00B45EBB" w:rsidTr="00682FD0">
        <w:trPr>
          <w:trHeight w:val="858"/>
          <w:jc w:val="center"/>
        </w:trPr>
        <w:tc>
          <w:tcPr>
            <w:tcW w:w="450" w:type="pct"/>
            <w:vMerge w:val="restar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3</w:t>
            </w:r>
          </w:p>
        </w:tc>
        <w:tc>
          <w:tcPr>
            <w:tcW w:w="713" w:type="pct"/>
            <w:vMerge w:val="restart"/>
            <w:vAlign w:val="center"/>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固定资产</w:t>
            </w:r>
            <w:r>
              <w:rPr>
                <w:rFonts w:ascii="仿宋" w:eastAsia="仿宋" w:hAnsi="仿宋" w:cs="仿宋" w:hint="eastAsia"/>
                <w:sz w:val="24"/>
              </w:rPr>
              <w:lastRenderedPageBreak/>
              <w:t>模块</w:t>
            </w: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lastRenderedPageBreak/>
              <w:t>初始化设置固定资产模块，包括设置控制参数、设置</w:t>
            </w:r>
            <w:r>
              <w:rPr>
                <w:rFonts w:ascii="仿宋" w:eastAsia="仿宋" w:hAnsi="仿宋" w:cs="仿宋" w:hint="eastAsia"/>
                <w:sz w:val="24"/>
              </w:rPr>
              <w:lastRenderedPageBreak/>
              <w:t>基础信息、录入原始卡片。</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lastRenderedPageBreak/>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固定资产增加、减少与生成记账凭证。</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2.5</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计提固定资产折旧。</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固定资产模块结账。</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0.5</w:t>
            </w:r>
          </w:p>
        </w:tc>
      </w:tr>
      <w:tr w:rsidR="00B45EBB" w:rsidTr="00682FD0">
        <w:trPr>
          <w:trHeight w:val="858"/>
          <w:jc w:val="center"/>
        </w:trPr>
        <w:tc>
          <w:tcPr>
            <w:tcW w:w="450" w:type="pct"/>
            <w:vMerge w:val="restar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4</w:t>
            </w:r>
          </w:p>
        </w:tc>
        <w:tc>
          <w:tcPr>
            <w:tcW w:w="713" w:type="pct"/>
            <w:vMerge w:val="restart"/>
            <w:vAlign w:val="center"/>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职工薪酬</w:t>
            </w: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初始化设置工资模块，包括设置基础信息、录入工资基础数据。</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设置工资项目的计算公式。</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录入工资数据并计算汇总。</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设置工资分摊公式与生成凭证。</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工资模块结账。</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858"/>
          <w:jc w:val="center"/>
        </w:trPr>
        <w:tc>
          <w:tcPr>
            <w:tcW w:w="450" w:type="pct"/>
            <w:vMerge w:val="restar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5</w:t>
            </w:r>
          </w:p>
        </w:tc>
        <w:tc>
          <w:tcPr>
            <w:tcW w:w="713" w:type="pct"/>
            <w:vMerge w:val="restart"/>
            <w:vAlign w:val="center"/>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总账</w:t>
            </w: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初始化设置总账模块，包括设置控制参数、录入科目初始数据。</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反记账与反审核。</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0.5</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输入企业基本经济业务的通用记账凭证。</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20</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根据权限进行记账凭证的查询、审核、记账和对账。</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0.5</w:t>
            </w:r>
          </w:p>
        </w:tc>
      </w:tr>
      <w:tr w:rsidR="00B45EBB" w:rsidTr="00682FD0">
        <w:trPr>
          <w:trHeight w:val="433"/>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总账模块的期末结账。</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0.5</w:t>
            </w:r>
          </w:p>
        </w:tc>
      </w:tr>
      <w:tr w:rsidR="00B45EBB" w:rsidTr="00682FD0">
        <w:trPr>
          <w:trHeight w:val="433"/>
          <w:jc w:val="center"/>
        </w:trPr>
        <w:tc>
          <w:tcPr>
            <w:tcW w:w="450" w:type="pct"/>
            <w:vMerge w:val="restar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6</w:t>
            </w:r>
          </w:p>
        </w:tc>
        <w:tc>
          <w:tcPr>
            <w:tcW w:w="713" w:type="pct"/>
            <w:vMerge w:val="restart"/>
            <w:vAlign w:val="center"/>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报表管理</w:t>
            </w: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利用报表模板生成资产负债表、利润表。</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r w:rsidR="00B45EBB" w:rsidTr="00682FD0">
        <w:trPr>
          <w:trHeight w:val="858"/>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设置、修改资产负债表、利润表的报表格式和报表项目的公式。</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3</w:t>
            </w:r>
          </w:p>
        </w:tc>
      </w:tr>
      <w:tr w:rsidR="00B45EBB" w:rsidTr="00682FD0">
        <w:trPr>
          <w:trHeight w:val="441"/>
          <w:jc w:val="center"/>
        </w:trPr>
        <w:tc>
          <w:tcPr>
            <w:tcW w:w="450" w:type="pct"/>
            <w:vMerge/>
            <w:vAlign w:val="center"/>
          </w:tcPr>
          <w:p w:rsidR="00B45EBB" w:rsidRDefault="00B45EBB" w:rsidP="00682FD0">
            <w:pPr>
              <w:snapToGrid w:val="0"/>
              <w:spacing w:line="560" w:lineRule="exact"/>
              <w:jc w:val="center"/>
              <w:rPr>
                <w:rFonts w:ascii="仿宋" w:eastAsia="仿宋" w:hAnsi="仿宋" w:cs="仿宋"/>
                <w:sz w:val="24"/>
              </w:rPr>
            </w:pPr>
          </w:p>
        </w:tc>
        <w:tc>
          <w:tcPr>
            <w:tcW w:w="713" w:type="pct"/>
            <w:vMerge/>
            <w:vAlign w:val="center"/>
          </w:tcPr>
          <w:p w:rsidR="00B45EBB" w:rsidRDefault="00B45EBB" w:rsidP="00682FD0">
            <w:pPr>
              <w:snapToGrid w:val="0"/>
              <w:spacing w:line="560" w:lineRule="exact"/>
              <w:rPr>
                <w:rFonts w:ascii="仿宋" w:eastAsia="仿宋" w:hAnsi="仿宋" w:cs="仿宋"/>
                <w:sz w:val="24"/>
              </w:rPr>
            </w:pPr>
          </w:p>
        </w:tc>
        <w:tc>
          <w:tcPr>
            <w:tcW w:w="3299" w:type="pct"/>
          </w:tcPr>
          <w:p w:rsidR="00B45EBB" w:rsidRDefault="00B45EBB" w:rsidP="00682FD0">
            <w:pPr>
              <w:snapToGrid w:val="0"/>
              <w:spacing w:line="560" w:lineRule="exact"/>
              <w:rPr>
                <w:rFonts w:ascii="仿宋" w:eastAsia="仿宋" w:hAnsi="仿宋" w:cs="仿宋"/>
                <w:sz w:val="24"/>
              </w:rPr>
            </w:pPr>
            <w:r>
              <w:rPr>
                <w:rFonts w:ascii="仿宋" w:eastAsia="仿宋" w:hAnsi="仿宋" w:cs="仿宋" w:hint="eastAsia"/>
                <w:sz w:val="24"/>
              </w:rPr>
              <w:t>生成、保存和按要求输出资产负债表、利润表。</w:t>
            </w:r>
          </w:p>
        </w:tc>
        <w:tc>
          <w:tcPr>
            <w:tcW w:w="537"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1</w:t>
            </w:r>
          </w:p>
        </w:tc>
      </w:tr>
    </w:tbl>
    <w:p w:rsidR="00B45EBB" w:rsidRDefault="00B45EBB" w:rsidP="00B45EBB">
      <w:pPr>
        <w:snapToGrid w:val="0"/>
        <w:spacing w:line="560" w:lineRule="exact"/>
        <w:rPr>
          <w:rFonts w:ascii="楷体" w:eastAsia="楷体" w:hAnsi="楷体" w:cs="楷体"/>
          <w:kern w:val="0"/>
          <w:sz w:val="32"/>
          <w:szCs w:val="32"/>
        </w:rPr>
      </w:pPr>
    </w:p>
    <w:p w:rsidR="00B45EBB" w:rsidRDefault="00B45EBB" w:rsidP="00B45EBB">
      <w:pPr>
        <w:snapToGrid w:val="0"/>
        <w:spacing w:line="560" w:lineRule="exact"/>
        <w:ind w:firstLineChars="200" w:firstLine="640"/>
        <w:rPr>
          <w:rFonts w:ascii="楷体" w:eastAsia="楷体" w:hAnsi="楷体" w:cs="楷体"/>
          <w:kern w:val="0"/>
          <w:sz w:val="32"/>
          <w:szCs w:val="32"/>
        </w:rPr>
      </w:pPr>
      <w:r>
        <w:rPr>
          <w:rFonts w:ascii="楷体" w:eastAsia="楷体" w:hAnsi="楷体" w:cs="楷体" w:hint="eastAsia"/>
          <w:kern w:val="0"/>
          <w:sz w:val="32"/>
          <w:szCs w:val="32"/>
        </w:rPr>
        <w:t>（二）基础会计实务</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1.考试样题</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lastRenderedPageBreak/>
        <w:t>在规定时间内完成原始凭证的填制、记账凭证的填制、账簿的登记和会计报表的编制，时间60分钟，总分50分。</w:t>
      </w:r>
    </w:p>
    <w:p w:rsidR="00B45EBB" w:rsidRDefault="00B45EBB" w:rsidP="00B45EBB">
      <w:pPr>
        <w:snapToGrid w:val="0"/>
        <w:spacing w:line="560" w:lineRule="exact"/>
        <w:ind w:firstLineChars="200" w:firstLine="640"/>
        <w:rPr>
          <w:rFonts w:ascii="仿宋" w:eastAsia="仿宋" w:hAnsi="仿宋" w:cs="仿宋"/>
          <w:kern w:val="0"/>
          <w:sz w:val="32"/>
          <w:szCs w:val="32"/>
        </w:rPr>
      </w:pPr>
      <w:r>
        <w:rPr>
          <w:rFonts w:ascii="仿宋" w:eastAsia="仿宋" w:hAnsi="仿宋" w:cs="仿宋" w:hint="eastAsia"/>
          <w:kern w:val="0"/>
          <w:sz w:val="32"/>
          <w:szCs w:val="32"/>
        </w:rPr>
        <w:t>2.评分标准</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
        <w:gridCol w:w="2116"/>
        <w:gridCol w:w="4755"/>
        <w:gridCol w:w="910"/>
      </w:tblGrid>
      <w:tr w:rsidR="00B45EBB" w:rsidTr="00682FD0">
        <w:trPr>
          <w:trHeight w:val="467"/>
          <w:jc w:val="center"/>
        </w:trPr>
        <w:tc>
          <w:tcPr>
            <w:tcW w:w="433" w:type="pct"/>
            <w:vAlign w:val="center"/>
          </w:tcPr>
          <w:p w:rsidR="00B45EBB" w:rsidRDefault="00B45EBB" w:rsidP="00682FD0">
            <w:pPr>
              <w:spacing w:line="560" w:lineRule="exact"/>
              <w:ind w:leftChars="-48" w:left="-101"/>
              <w:jc w:val="center"/>
              <w:rPr>
                <w:rFonts w:ascii="仿宋" w:eastAsia="仿宋" w:hAnsi="仿宋" w:cs="仿宋"/>
                <w:b/>
                <w:bCs/>
                <w:sz w:val="24"/>
              </w:rPr>
            </w:pPr>
            <w:r>
              <w:rPr>
                <w:rFonts w:ascii="仿宋" w:eastAsia="仿宋" w:hAnsi="仿宋" w:cs="仿宋" w:hint="eastAsia"/>
                <w:b/>
                <w:bCs/>
                <w:sz w:val="24"/>
              </w:rPr>
              <w:t>序号</w:t>
            </w:r>
          </w:p>
        </w:tc>
        <w:tc>
          <w:tcPr>
            <w:tcW w:w="1242" w:type="pct"/>
            <w:vAlign w:val="center"/>
          </w:tcPr>
          <w:p w:rsidR="00B45EBB" w:rsidRDefault="00B45EBB" w:rsidP="00682FD0">
            <w:pPr>
              <w:spacing w:line="560" w:lineRule="exact"/>
              <w:jc w:val="center"/>
              <w:rPr>
                <w:rFonts w:ascii="仿宋" w:eastAsia="仿宋" w:hAnsi="仿宋" w:cs="仿宋"/>
                <w:b/>
                <w:bCs/>
                <w:sz w:val="24"/>
              </w:rPr>
            </w:pPr>
            <w:r>
              <w:rPr>
                <w:rFonts w:ascii="仿宋" w:eastAsia="仿宋" w:hAnsi="仿宋" w:cs="仿宋" w:hint="eastAsia"/>
                <w:b/>
                <w:bCs/>
                <w:sz w:val="24"/>
              </w:rPr>
              <w:t>评分要点</w:t>
            </w:r>
          </w:p>
        </w:tc>
        <w:tc>
          <w:tcPr>
            <w:tcW w:w="2790" w:type="pct"/>
            <w:vAlign w:val="center"/>
          </w:tcPr>
          <w:p w:rsidR="00B45EBB" w:rsidRDefault="00B45EBB" w:rsidP="00682FD0">
            <w:pPr>
              <w:spacing w:line="560" w:lineRule="exact"/>
              <w:jc w:val="center"/>
              <w:rPr>
                <w:rFonts w:ascii="仿宋" w:eastAsia="仿宋" w:hAnsi="仿宋" w:cs="仿宋"/>
                <w:b/>
                <w:bCs/>
                <w:sz w:val="24"/>
              </w:rPr>
            </w:pPr>
            <w:r>
              <w:rPr>
                <w:rFonts w:ascii="仿宋" w:eastAsia="仿宋" w:hAnsi="仿宋" w:cs="仿宋" w:hint="eastAsia"/>
                <w:b/>
                <w:bCs/>
                <w:sz w:val="24"/>
              </w:rPr>
              <w:t>评分依据</w:t>
            </w:r>
          </w:p>
        </w:tc>
        <w:tc>
          <w:tcPr>
            <w:tcW w:w="534" w:type="pct"/>
            <w:vAlign w:val="center"/>
          </w:tcPr>
          <w:p w:rsidR="00B45EBB" w:rsidRDefault="00B45EBB" w:rsidP="00682FD0">
            <w:pPr>
              <w:spacing w:line="560" w:lineRule="exact"/>
              <w:jc w:val="center"/>
              <w:rPr>
                <w:rFonts w:ascii="仿宋" w:eastAsia="仿宋" w:hAnsi="仿宋" w:cs="仿宋"/>
                <w:b/>
                <w:bCs/>
                <w:sz w:val="24"/>
              </w:rPr>
            </w:pPr>
            <w:r>
              <w:rPr>
                <w:rFonts w:ascii="仿宋" w:eastAsia="仿宋" w:hAnsi="仿宋" w:cs="仿宋" w:hint="eastAsia"/>
                <w:b/>
                <w:bCs/>
                <w:sz w:val="24"/>
              </w:rPr>
              <w:t>分值</w:t>
            </w:r>
          </w:p>
        </w:tc>
      </w:tr>
      <w:tr w:rsidR="00B45EBB" w:rsidTr="00682FD0">
        <w:trPr>
          <w:trHeight w:val="467"/>
          <w:jc w:val="center"/>
        </w:trPr>
        <w:tc>
          <w:tcPr>
            <w:tcW w:w="433"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1</w:t>
            </w:r>
          </w:p>
        </w:tc>
        <w:tc>
          <w:tcPr>
            <w:tcW w:w="1242"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原始凭证的填制</w:t>
            </w:r>
          </w:p>
        </w:tc>
        <w:tc>
          <w:tcPr>
            <w:tcW w:w="2790" w:type="pct"/>
            <w:vAlign w:val="center"/>
          </w:tcPr>
          <w:p w:rsidR="00B45EBB" w:rsidRDefault="00B45EBB" w:rsidP="00682FD0">
            <w:pPr>
              <w:spacing w:line="560" w:lineRule="exact"/>
              <w:jc w:val="left"/>
              <w:rPr>
                <w:rFonts w:ascii="仿宋" w:eastAsia="仿宋" w:hAnsi="仿宋" w:cs="仿宋"/>
                <w:sz w:val="24"/>
              </w:rPr>
            </w:pPr>
            <w:r>
              <w:rPr>
                <w:rFonts w:ascii="仿宋" w:eastAsia="仿宋" w:hAnsi="仿宋" w:cs="仿宋" w:hint="eastAsia"/>
                <w:sz w:val="24"/>
              </w:rPr>
              <w:t>会规范、正确、完整填制1张原始凭证。</w:t>
            </w:r>
          </w:p>
        </w:tc>
        <w:tc>
          <w:tcPr>
            <w:tcW w:w="534"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5</w:t>
            </w:r>
          </w:p>
        </w:tc>
      </w:tr>
      <w:tr w:rsidR="00B45EBB" w:rsidTr="00682FD0">
        <w:trPr>
          <w:trHeight w:val="925"/>
          <w:jc w:val="center"/>
        </w:trPr>
        <w:tc>
          <w:tcPr>
            <w:tcW w:w="433"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2</w:t>
            </w:r>
          </w:p>
        </w:tc>
        <w:tc>
          <w:tcPr>
            <w:tcW w:w="1242"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记账凭证的填制</w:t>
            </w:r>
          </w:p>
        </w:tc>
        <w:tc>
          <w:tcPr>
            <w:tcW w:w="2790" w:type="pct"/>
            <w:vAlign w:val="center"/>
          </w:tcPr>
          <w:p w:rsidR="00B45EBB" w:rsidRDefault="00B45EBB" w:rsidP="00682FD0">
            <w:pPr>
              <w:spacing w:line="560" w:lineRule="exact"/>
              <w:jc w:val="left"/>
              <w:rPr>
                <w:rFonts w:ascii="仿宋" w:eastAsia="仿宋" w:hAnsi="仿宋" w:cs="仿宋"/>
                <w:sz w:val="24"/>
              </w:rPr>
            </w:pPr>
            <w:r>
              <w:rPr>
                <w:rFonts w:ascii="仿宋" w:eastAsia="仿宋" w:hAnsi="仿宋" w:cs="仿宋" w:hint="eastAsia"/>
                <w:sz w:val="24"/>
              </w:rPr>
              <w:t>会规范、正确、完整填制10笔经济业务的记账凭证。</w:t>
            </w:r>
          </w:p>
        </w:tc>
        <w:tc>
          <w:tcPr>
            <w:tcW w:w="534"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30</w:t>
            </w:r>
          </w:p>
        </w:tc>
      </w:tr>
      <w:tr w:rsidR="00B45EBB" w:rsidTr="00682FD0">
        <w:trPr>
          <w:trHeight w:val="925"/>
          <w:jc w:val="center"/>
        </w:trPr>
        <w:tc>
          <w:tcPr>
            <w:tcW w:w="433"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3</w:t>
            </w:r>
          </w:p>
        </w:tc>
        <w:tc>
          <w:tcPr>
            <w:tcW w:w="1242"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账簿的登记</w:t>
            </w:r>
          </w:p>
        </w:tc>
        <w:tc>
          <w:tcPr>
            <w:tcW w:w="2790" w:type="pct"/>
            <w:vAlign w:val="center"/>
          </w:tcPr>
          <w:p w:rsidR="00B45EBB" w:rsidRDefault="00B45EBB" w:rsidP="00682FD0">
            <w:pPr>
              <w:spacing w:line="560" w:lineRule="exact"/>
              <w:jc w:val="left"/>
              <w:rPr>
                <w:rFonts w:ascii="仿宋" w:eastAsia="仿宋" w:hAnsi="仿宋" w:cs="仿宋"/>
                <w:sz w:val="24"/>
              </w:rPr>
            </w:pPr>
            <w:r>
              <w:rPr>
                <w:rFonts w:ascii="仿宋" w:eastAsia="仿宋" w:hAnsi="仿宋" w:cs="仿宋" w:hint="eastAsia"/>
                <w:sz w:val="24"/>
              </w:rPr>
              <w:t>会规范、正确、完整登记1套日记账或明细账或总账。</w:t>
            </w:r>
          </w:p>
        </w:tc>
        <w:tc>
          <w:tcPr>
            <w:tcW w:w="534"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10</w:t>
            </w:r>
          </w:p>
        </w:tc>
      </w:tr>
      <w:tr w:rsidR="00B45EBB" w:rsidTr="00682FD0">
        <w:trPr>
          <w:trHeight w:val="475"/>
          <w:jc w:val="center"/>
        </w:trPr>
        <w:tc>
          <w:tcPr>
            <w:tcW w:w="433"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4</w:t>
            </w:r>
          </w:p>
        </w:tc>
        <w:tc>
          <w:tcPr>
            <w:tcW w:w="1242" w:type="pct"/>
            <w:vAlign w:val="center"/>
          </w:tcPr>
          <w:p w:rsidR="00B45EBB" w:rsidRDefault="00B45EBB" w:rsidP="00682FD0">
            <w:pPr>
              <w:snapToGrid w:val="0"/>
              <w:spacing w:line="560" w:lineRule="exact"/>
              <w:jc w:val="center"/>
              <w:rPr>
                <w:rFonts w:ascii="仿宋" w:eastAsia="仿宋" w:hAnsi="仿宋" w:cs="仿宋"/>
                <w:sz w:val="24"/>
              </w:rPr>
            </w:pPr>
            <w:r>
              <w:rPr>
                <w:rFonts w:ascii="仿宋" w:eastAsia="仿宋" w:hAnsi="仿宋" w:cs="仿宋" w:hint="eastAsia"/>
                <w:sz w:val="24"/>
              </w:rPr>
              <w:t>会计报表的编制</w:t>
            </w:r>
          </w:p>
        </w:tc>
        <w:tc>
          <w:tcPr>
            <w:tcW w:w="2790" w:type="pct"/>
            <w:vAlign w:val="center"/>
          </w:tcPr>
          <w:p w:rsidR="00B45EBB" w:rsidRDefault="00B45EBB" w:rsidP="00682FD0">
            <w:pPr>
              <w:spacing w:line="560" w:lineRule="exact"/>
              <w:jc w:val="left"/>
              <w:rPr>
                <w:rFonts w:ascii="仿宋" w:eastAsia="仿宋" w:hAnsi="仿宋" w:cs="仿宋"/>
                <w:sz w:val="24"/>
              </w:rPr>
            </w:pPr>
            <w:r>
              <w:rPr>
                <w:rFonts w:ascii="仿宋" w:eastAsia="仿宋" w:hAnsi="仿宋" w:cs="仿宋" w:hint="eastAsia"/>
                <w:sz w:val="24"/>
              </w:rPr>
              <w:t>会规范、正确编制1张资产负债表或利润表。</w:t>
            </w:r>
          </w:p>
        </w:tc>
        <w:tc>
          <w:tcPr>
            <w:tcW w:w="534" w:type="pct"/>
            <w:vAlign w:val="center"/>
          </w:tcPr>
          <w:p w:rsidR="00B45EBB" w:rsidRDefault="00B45EBB" w:rsidP="00682FD0">
            <w:pPr>
              <w:spacing w:line="560" w:lineRule="exact"/>
              <w:jc w:val="center"/>
              <w:rPr>
                <w:rFonts w:ascii="仿宋" w:eastAsia="仿宋" w:hAnsi="仿宋" w:cs="仿宋"/>
                <w:sz w:val="24"/>
              </w:rPr>
            </w:pPr>
            <w:r>
              <w:rPr>
                <w:rFonts w:ascii="仿宋" w:eastAsia="仿宋" w:hAnsi="仿宋" w:cs="仿宋" w:hint="eastAsia"/>
                <w:sz w:val="24"/>
              </w:rPr>
              <w:t>5</w:t>
            </w:r>
          </w:p>
        </w:tc>
      </w:tr>
    </w:tbl>
    <w:p w:rsidR="00B45EBB" w:rsidRDefault="00B45EBB" w:rsidP="00B45EBB">
      <w:pPr>
        <w:snapToGrid w:val="0"/>
        <w:spacing w:line="560" w:lineRule="exact"/>
        <w:ind w:firstLineChars="200" w:firstLine="480"/>
        <w:rPr>
          <w:rFonts w:ascii="仿宋" w:eastAsia="仿宋" w:hAnsi="仿宋" w:cs="仿宋"/>
          <w:kern w:val="0"/>
          <w:sz w:val="24"/>
        </w:rPr>
      </w:pPr>
    </w:p>
    <w:p w:rsidR="00B45EBB" w:rsidRDefault="00B45EBB" w:rsidP="00B45EBB"/>
    <w:p w:rsidR="00621BB5" w:rsidRDefault="00621BB5"/>
    <w:sectPr w:rsidR="00621BB5" w:rsidSect="00682FD0">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914" w:rsidRDefault="00D70914" w:rsidP="00B45EBB">
      <w:r>
        <w:separator/>
      </w:r>
    </w:p>
  </w:endnote>
  <w:endnote w:type="continuationSeparator" w:id="0">
    <w:p w:rsidR="00D70914" w:rsidRDefault="00D70914" w:rsidP="00B45E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2FD0" w:rsidRDefault="00467767">
    <w:pPr>
      <w:pStyle w:val="a4"/>
      <w:framePr w:wrap="around" w:vAnchor="text" w:hAnchor="margin" w:xAlign="center" w:y="1"/>
      <w:rPr>
        <w:rStyle w:val="a5"/>
      </w:rPr>
    </w:pPr>
    <w:r>
      <w:rPr>
        <w:rStyle w:val="a5"/>
      </w:rPr>
      <w:fldChar w:fldCharType="begin"/>
    </w:r>
    <w:r w:rsidR="00682FD0">
      <w:rPr>
        <w:rStyle w:val="a5"/>
      </w:rPr>
      <w:instrText xml:space="preserve">PAGE  </w:instrText>
    </w:r>
    <w:r>
      <w:rPr>
        <w:rStyle w:val="a5"/>
      </w:rPr>
      <w:fldChar w:fldCharType="separate"/>
    </w:r>
    <w:r w:rsidR="0061697C">
      <w:rPr>
        <w:rStyle w:val="a5"/>
        <w:noProof/>
      </w:rPr>
      <w:t>1</w:t>
    </w:r>
    <w:r>
      <w:rPr>
        <w:rStyle w:val="a5"/>
      </w:rPr>
      <w:fldChar w:fldCharType="end"/>
    </w:r>
  </w:p>
  <w:p w:rsidR="00682FD0" w:rsidRDefault="00682FD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914" w:rsidRDefault="00D70914" w:rsidP="00B45EBB">
      <w:r>
        <w:separator/>
      </w:r>
    </w:p>
  </w:footnote>
  <w:footnote w:type="continuationSeparator" w:id="0">
    <w:p w:rsidR="00D70914" w:rsidRDefault="00D70914" w:rsidP="00B45E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B6B7B"/>
    <w:rsid w:val="000E479A"/>
    <w:rsid w:val="001976CA"/>
    <w:rsid w:val="002819E1"/>
    <w:rsid w:val="00317719"/>
    <w:rsid w:val="00467767"/>
    <w:rsid w:val="004C25D0"/>
    <w:rsid w:val="005F7103"/>
    <w:rsid w:val="00600FC8"/>
    <w:rsid w:val="0061697C"/>
    <w:rsid w:val="00621BB5"/>
    <w:rsid w:val="00682FD0"/>
    <w:rsid w:val="00791781"/>
    <w:rsid w:val="00A94579"/>
    <w:rsid w:val="00B45EBB"/>
    <w:rsid w:val="00BA05B0"/>
    <w:rsid w:val="00CC6B4C"/>
    <w:rsid w:val="00D36239"/>
    <w:rsid w:val="00D70914"/>
    <w:rsid w:val="00DB6B7B"/>
    <w:rsid w:val="00DE21B0"/>
    <w:rsid w:val="00FE6CB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EB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5E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45EBB"/>
    <w:rPr>
      <w:sz w:val="18"/>
      <w:szCs w:val="18"/>
    </w:rPr>
  </w:style>
  <w:style w:type="paragraph" w:styleId="a4">
    <w:name w:val="footer"/>
    <w:basedOn w:val="a"/>
    <w:link w:val="Char0"/>
    <w:uiPriority w:val="99"/>
    <w:unhideWhenUsed/>
    <w:qFormat/>
    <w:rsid w:val="00B45E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B45EBB"/>
    <w:rPr>
      <w:sz w:val="18"/>
      <w:szCs w:val="18"/>
    </w:rPr>
  </w:style>
  <w:style w:type="character" w:styleId="a5">
    <w:name w:val="page number"/>
    <w:uiPriority w:val="99"/>
    <w:qFormat/>
    <w:rsid w:val="00B45EB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page number"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5EBB"/>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5E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45EBB"/>
    <w:rPr>
      <w:sz w:val="18"/>
      <w:szCs w:val="18"/>
    </w:rPr>
  </w:style>
  <w:style w:type="paragraph" w:styleId="a4">
    <w:name w:val="footer"/>
    <w:basedOn w:val="a"/>
    <w:link w:val="Char0"/>
    <w:uiPriority w:val="99"/>
    <w:unhideWhenUsed/>
    <w:qFormat/>
    <w:rsid w:val="00B45E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qFormat/>
    <w:rsid w:val="00B45EBB"/>
    <w:rPr>
      <w:sz w:val="18"/>
      <w:szCs w:val="18"/>
    </w:rPr>
  </w:style>
  <w:style w:type="character" w:styleId="a5">
    <w:name w:val="page number"/>
    <w:uiPriority w:val="99"/>
    <w:qFormat/>
    <w:rsid w:val="00B45EBB"/>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603</Words>
  <Characters>3439</Characters>
  <Application>Microsoft Office Word</Application>
  <DocSecurity>0</DocSecurity>
  <Lines>28</Lines>
  <Paragraphs>8</Paragraphs>
  <ScaleCrop>false</ScaleCrop>
  <Company>MicroWin10.com</Company>
  <LinksUpToDate>false</LinksUpToDate>
  <CharactersWithSpaces>4034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dc:creator>
  <cp:keywords/>
  <dc:description/>
  <cp:lastModifiedBy>dreamsummit</cp:lastModifiedBy>
  <cp:revision>12</cp:revision>
  <dcterms:created xsi:type="dcterms:W3CDTF">2022-08-17T14:01:00Z</dcterms:created>
  <dcterms:modified xsi:type="dcterms:W3CDTF">2022-09-07T03:21:00Z</dcterms:modified>
</cp:coreProperties>
</file>